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3600"/>
      </w:pPr>
      <w:r>
        <w:rPr>
          <w:rFonts w:ascii="Seaford" w:cs="Seaford" w:eastAsia="Seaford" w:hAnsi="Seaford"/>
          <w:b/>
          <w:bCs/>
          <w:color w:val="49497F"/>
          <w:spacing w:val="80"/>
          <w:sz w:val="22"/>
          <w:szCs w:val="22"/>
        </w:rPr>
        <w:t xml:space="preserve">DRAFT MODEL ORDINANCE</w:t>
      </w:r>
      <w:r>
        <w:drawing>
          <wp:anchor distT="0" distB="0" distL="0" distR="0" simplePos="0" allowOverlap="1" behindDoc="1" locked="0" layoutInCell="1" relativeHeight="3105150">
            <wp:simplePos x="0" y="0"/>
            <wp:positionH relativeFrom="page">
              <wp:posOffset>0</wp:posOffset>
            </wp:positionH>
            <wp:positionV relativeFrom="page">
              <wp:posOffset>6355080</wp:posOffset>
            </wp:positionV>
            <wp:extent cx="7772400" cy="310515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772400" cy="3105150"/>
                    </a:xfrm>
                    <a:prstGeom prst="rect">
                      <a:avLst/>
                    </a:prstGeom>
                  </pic:spPr>
                </pic:pic>
              </a:graphicData>
            </a:graphic>
          </wp:anchor>
        </w:drawing>
      </w:r>
    </w:p>
    <w:p>
      <w:pPr>
        <w:pBdr>
          <w:left w:val="single" w:color="9FD75C" w:sz="48" w:space="14"/>
        </w:pBdr>
        <w:spacing w:after="0" w:before="0" w:line="300" w:lineRule="atLeast"/>
      </w:pPr>
      <w:r>
        <w:rPr>
          <w:rFonts w:ascii="Seaford" w:cs="Seaford" w:eastAsia="Seaford" w:hAnsi="Seaford"/>
          <w:b/>
          <w:bCs/>
          <w:color w:val="49497F"/>
          <w:sz w:val="60"/>
          <w:szCs w:val="60"/>
        </w:rPr>
        <w:t xml:space="preserve">NC DATA CENTER UNIFIED</w:t>
      </w:r>
    </w:p>
    <w:p>
      <w:pPr>
        <w:pBdr>
          <w:left w:val="single" w:color="9FD75C" w:sz="48" w:space="14"/>
        </w:pBdr>
        <w:spacing w:after="0" w:before="0" w:line="300" w:lineRule="atLeast"/>
      </w:pPr>
      <w:r>
        <w:rPr>
          <w:rFonts w:ascii="Seaford" w:cs="Seaford" w:eastAsia="Seaford" w:hAnsi="Seaford"/>
          <w:b/>
          <w:bCs/>
          <w:color w:val="49497F"/>
          <w:sz w:val="60"/>
          <w:szCs w:val="60"/>
        </w:rPr>
        <w:t xml:space="preserve">DEVELOPMENT ORDINANCE</w:t>
      </w:r>
    </w:p>
    <w:p>
      <w:pPr>
        <w:pBdr>
          <w:left w:val="single" w:color="9FD75C" w:sz="48" w:space="14"/>
        </w:pBdr>
        <w:spacing w:after="0" w:before="0" w:line="300" w:lineRule="atLeast"/>
      </w:pPr>
      <w:r>
        <w:rPr>
          <w:rFonts w:ascii="Seaford" w:cs="Seaford" w:eastAsia="Seaford" w:hAnsi="Seaford"/>
          <w:b/>
          <w:bCs/>
          <w:color w:val="49497F"/>
          <w:sz w:val="60"/>
          <w:szCs w:val="60"/>
        </w:rPr>
        <w:t xml:space="preserve">AMENDMENT DRAFT</w:t>
      </w:r>
    </w:p>
    <w:p>
      <w:pPr>
        <w:spacing w:before="360"/>
      </w:pPr>
      <w:r>
        <w:rPr>
          <w:rFonts w:ascii="Seaford" w:cs="Seaford" w:eastAsia="Seaford" w:hAnsi="Seaford"/>
          <w:b/>
          <w:bCs/>
          <w:color w:val="6B6F7B"/>
          <w:sz w:val="22"/>
          <w:szCs w:val="22"/>
        </w:rPr>
        <w:t xml:space="preserve">TOWN OF </w:t>
      </w:r>
      <w:r>
        <w:rPr>
          <w:rFonts w:ascii="Seaford" w:cs="Seaford" w:eastAsia="Seaford" w:hAnsi="Seaford"/>
          <w:b/>
          <w:bCs/>
          <w:color w:val="6B6F7B"/>
          <w:sz w:val="22"/>
          <w:szCs w:val="22"/>
          <w:shd w:fill="FCE7C5" w:color="auto" w:val="clear"/>
        </w:rPr>
        <w:t xml:space="preserve">[LOCAL GOVERNMENT NAME]</w:t>
      </w:r>
      <w:r>
        <w:rPr>
          <w:rFonts w:ascii="Seaford" w:cs="Seaford" w:eastAsia="Seaford" w:hAnsi="Seaford"/>
          <w:b/>
          <w:bCs/>
          <w:color w:val="6B6F7B"/>
          <w:sz w:val="22"/>
          <w:szCs w:val="22"/>
        </w:rPr>
        <w:t xml:space="preserve">, NORTH CAROLINA</w:t>
      </w:r>
    </w:p>
    <w:p>
      <w:pPr>
        <w:framePr w:w="6000" w:h="300" w:x="1090" w:y="12960" w:hAnchor="page" w:vAnchor="page"/>
      </w:pPr>
      <w:r>
        <w:rPr>
          <w:rFonts w:ascii="Seaford" w:cs="Seaford" w:eastAsia="Seaford" w:hAnsi="Seaford"/>
          <w:color w:val="FFFFFF"/>
          <w:sz w:val="19"/>
          <w:szCs w:val="19"/>
        </w:rPr>
        <w:t xml:space="preserve">4307 Emperor Blvd., Suite 110  ·  Durham, NC 27703</w:t>
      </w:r>
    </w:p>
    <w:p>
      <w:pPr>
        <w:framePr w:w="6000" w:h="300" w:x="1090" w:y="13280" w:hAnchor="page" w:vAnchor="page"/>
      </w:pPr>
      <w:r>
        <w:rPr>
          <w:rFonts w:ascii="Seaford" w:cs="Seaford" w:eastAsia="Seaford" w:hAnsi="Seaford"/>
          <w:color w:val="FFFFFF"/>
          <w:sz w:val="19"/>
          <w:szCs w:val="19"/>
        </w:rPr>
        <w:t xml:space="preserve">919.549.0551  ·  centralpinesnc.gov</w:t>
      </w:r>
    </w:p>
    <w:p>
      <w:pPr>
        <w:sectPr>
          <w:headerReference w:type="default" r:id="rId7"/>
          <w:footerReference w:type="default" r:id="rId8"/>
          <w:pgSz w:w="12240" w:h="15840" w:orient="portrait"/>
          <w:pgMar w:top="1300" w:right="1296" w:bottom="1200" w:left="1296" w:header="640" w:footer="600" w:gutter="0"/>
          <w:pgNumType/>
          <w:docGrid w:linePitch="360"/>
        </w:sectPr>
      </w:pPr>
    </w:p>
    <w:p>
      <w:pPr>
        <w:spacing w:after="240"/>
      </w:pPr>
      <w:r>
        <w:rPr>
          <w:rFonts w:ascii="Seaford" w:cs="Seaford" w:eastAsia="Seaford" w:hAnsi="Seaford"/>
          <w:b/>
          <w:bCs/>
          <w:color w:val="49497F"/>
          <w:sz w:val="44"/>
          <w:szCs w:val="44"/>
        </w:rPr>
        <w:t xml:space="preserve">Contents</w:t>
      </w:r>
    </w:p>
    <w:p>
      <w:pPr>
        <w:pStyle w:val="TOC1"/>
        <w:tabs>
          <w:tab w:val="right" w:leader="dot" w:pos="9638"/>
        </w:tabs>
        <w:spacing w:before="150" w:after="30"/>
      </w:pPr>
      <w:r>
        <w:rPr>
          <w:rFonts w:ascii="Seaford" w:cs="Seaford" w:eastAsia="Seaford" w:hAnsi="Seaford"/>
          <w:b/>
          <w:bCs/>
          <w:color w:val="49497F"/>
          <w:sz w:val="20"/>
          <w:szCs w:val="20"/>
        </w:rPr>
        <w:t xml:space="preserve">How to Use This Document</w:t>
      </w:r>
      <w:r>
        <w:rPr>
          <w:rFonts w:ascii="Seaford" w:cs="Seaford" w:eastAsia="Seaford" w:hAnsi="Seaford"/>
          <w:b/>
          <w:bCs/>
          <w:color w:val="49497F"/>
          <w:sz w:val="20"/>
          <w:szCs w:val="20"/>
        </w:rPr>
        <w:tab/>
      </w:r>
      <w:r>
        <w:rPr>
          <w:rFonts w:ascii="Seaford" w:cs="Seaford" w:eastAsia="Seaford" w:hAnsi="Seaford"/>
          <w:b/>
          <w:bCs/>
          <w:color w:val="49497F"/>
          <w:sz w:val="20"/>
          <w:szCs w:val="20"/>
        </w:rPr>
        <w:t>3</w:t>
      </w:r>
    </w:p>
    <w:p>
      <w:pPr>
        <w:pStyle w:val="TOC1"/>
        <w:tabs>
          <w:tab w:val="right" w:leader="dot" w:pos="9638"/>
        </w:tabs>
        <w:spacing w:before="150" w:after="30"/>
      </w:pPr>
      <w:r>
        <w:rPr>
          <w:rFonts w:ascii="Seaford" w:cs="Seaford" w:eastAsia="Seaford" w:hAnsi="Seaford"/>
          <w:b/>
          <w:bCs/>
          <w:color w:val="49497F"/>
          <w:sz w:val="20"/>
          <w:szCs w:val="20"/>
        </w:rPr>
        <w:t xml:space="preserve">Abbreviations and Acronyms</w:t>
      </w:r>
      <w:r>
        <w:rPr>
          <w:rFonts w:ascii="Seaford" w:cs="Seaford" w:eastAsia="Seaford" w:hAnsi="Seaford"/>
          <w:b/>
          <w:bCs/>
          <w:color w:val="49497F"/>
          <w:sz w:val="20"/>
          <w:szCs w:val="20"/>
        </w:rPr>
        <w:tab/>
      </w:r>
      <w:r>
        <w:rPr>
          <w:rFonts w:ascii="Seaford" w:cs="Seaford" w:eastAsia="Seaford" w:hAnsi="Seaford"/>
          <w:b/>
          <w:bCs/>
          <w:color w:val="49497F"/>
          <w:sz w:val="20"/>
          <w:szCs w:val="20"/>
        </w:rPr>
        <w:t>4</w:t>
      </w:r>
    </w:p>
    <w:p>
      <w:pPr>
        <w:pStyle w:val="TOC1"/>
        <w:tabs>
          <w:tab w:val="right" w:leader="dot" w:pos="9638"/>
        </w:tabs>
        <w:spacing w:before="150" w:after="30"/>
      </w:pPr>
      <w:r>
        <w:rPr>
          <w:rFonts w:ascii="Seaford" w:cs="Seaford" w:eastAsia="Seaford" w:hAnsi="Seaford"/>
          <w:b/>
          <w:bCs/>
          <w:color w:val="49497F"/>
          <w:sz w:val="20"/>
          <w:szCs w:val="20"/>
        </w:rPr>
        <w:t xml:space="preserve">Section 1  Authority, Purpose, Intent, and Decommissioning</w:t>
      </w:r>
      <w:r>
        <w:rPr>
          <w:rFonts w:ascii="Seaford" w:cs="Seaford" w:eastAsia="Seaford" w:hAnsi="Seaford"/>
          <w:b/>
          <w:bCs/>
          <w:color w:val="49497F"/>
          <w:sz w:val="20"/>
          <w:szCs w:val="20"/>
        </w:rPr>
        <w:tab/>
      </w:r>
      <w:r>
        <w:rPr>
          <w:rFonts w:ascii="Seaford" w:cs="Seaford" w:eastAsia="Seaford" w:hAnsi="Seaford"/>
          <w:b/>
          <w:bCs/>
          <w:color w:val="49497F"/>
          <w:sz w:val="20"/>
          <w:szCs w:val="20"/>
        </w:rPr>
        <w:t>5</w:t>
      </w:r>
    </w:p>
    <w:p>
      <w:pPr>
        <w:pStyle w:val="TOC2"/>
        <w:tabs>
          <w:tab w:val="right" w:leader="dot" w:pos="9638"/>
        </w:tabs>
        <w:spacing w:before="0" w:after="12"/>
      </w:pPr>
      <w:r>
        <w:rPr>
          <w:rFonts w:ascii="Seaford" w:cs="Seaford" w:eastAsia="Seaford" w:hAnsi="Seaford"/>
          <w:color w:val="2E3338"/>
          <w:sz w:val="18"/>
          <w:szCs w:val="18"/>
        </w:rPr>
        <w:t xml:space="preserve">1.1  Statutory Authority</w:t>
      </w:r>
      <w:r>
        <w:rPr>
          <w:rFonts w:ascii="Seaford" w:cs="Seaford" w:eastAsia="Seaford" w:hAnsi="Seaford"/>
          <w:color w:val="6B6F7B"/>
          <w:sz w:val="18"/>
          <w:szCs w:val="18"/>
        </w:rPr>
        <w:tab/>
      </w:r>
      <w:r>
        <w:rPr>
          <w:rFonts w:ascii="Seaford" w:cs="Seaford" w:eastAsia="Seaford" w:hAnsi="Seaford"/>
          <w:color w:val="6B6F7B"/>
          <w:sz w:val="18"/>
          <w:szCs w:val="18"/>
        </w:rPr>
        <w:t>5</w:t>
      </w:r>
    </w:p>
    <w:p>
      <w:pPr>
        <w:pStyle w:val="TOC2"/>
        <w:tabs>
          <w:tab w:val="right" w:leader="dot" w:pos="9638"/>
        </w:tabs>
        <w:spacing w:before="0" w:after="12"/>
      </w:pPr>
      <w:r>
        <w:rPr>
          <w:rFonts w:ascii="Seaford" w:cs="Seaford" w:eastAsia="Seaford" w:hAnsi="Seaford"/>
          <w:color w:val="2E3338"/>
          <w:sz w:val="18"/>
          <w:szCs w:val="18"/>
        </w:rPr>
        <w:t xml:space="preserve">1.2  Purpose</w:t>
      </w:r>
      <w:r>
        <w:rPr>
          <w:rFonts w:ascii="Seaford" w:cs="Seaford" w:eastAsia="Seaford" w:hAnsi="Seaford"/>
          <w:color w:val="6B6F7B"/>
          <w:sz w:val="18"/>
          <w:szCs w:val="18"/>
        </w:rPr>
        <w:tab/>
      </w:r>
      <w:r>
        <w:rPr>
          <w:rFonts w:ascii="Seaford" w:cs="Seaford" w:eastAsia="Seaford" w:hAnsi="Seaford"/>
          <w:color w:val="6B6F7B"/>
          <w:sz w:val="18"/>
          <w:szCs w:val="18"/>
        </w:rPr>
        <w:t>5</w:t>
      </w:r>
    </w:p>
    <w:p>
      <w:pPr>
        <w:pStyle w:val="TOC2"/>
        <w:tabs>
          <w:tab w:val="right" w:leader="dot" w:pos="9638"/>
        </w:tabs>
        <w:spacing w:before="0" w:after="12"/>
      </w:pPr>
      <w:r>
        <w:rPr>
          <w:rFonts w:ascii="Seaford" w:cs="Seaford" w:eastAsia="Seaford" w:hAnsi="Seaford"/>
          <w:color w:val="2E3338"/>
          <w:sz w:val="18"/>
          <w:szCs w:val="18"/>
        </w:rPr>
        <w:t xml:space="preserve">1.3  Intent</w:t>
      </w:r>
      <w:r>
        <w:rPr>
          <w:rFonts w:ascii="Seaford" w:cs="Seaford" w:eastAsia="Seaford" w:hAnsi="Seaford"/>
          <w:color w:val="6B6F7B"/>
          <w:sz w:val="18"/>
          <w:szCs w:val="18"/>
        </w:rPr>
        <w:tab/>
      </w:r>
      <w:r>
        <w:rPr>
          <w:rFonts w:ascii="Seaford" w:cs="Seaford" w:eastAsia="Seaford" w:hAnsi="Seaford"/>
          <w:color w:val="6B6F7B"/>
          <w:sz w:val="18"/>
          <w:szCs w:val="18"/>
        </w:rPr>
        <w:t>5</w:t>
      </w:r>
    </w:p>
    <w:p>
      <w:pPr>
        <w:pStyle w:val="TOC2"/>
        <w:tabs>
          <w:tab w:val="right" w:leader="dot" w:pos="9638"/>
        </w:tabs>
        <w:spacing w:before="0" w:after="12"/>
      </w:pPr>
      <w:r>
        <w:rPr>
          <w:rFonts w:ascii="Seaford" w:cs="Seaford" w:eastAsia="Seaford" w:hAnsi="Seaford"/>
          <w:color w:val="2E3338"/>
          <w:sz w:val="18"/>
          <w:szCs w:val="18"/>
        </w:rPr>
        <w:t xml:space="preserve">1.4  Changes in Data Center Tier</w:t>
      </w:r>
      <w:r>
        <w:rPr>
          <w:rFonts w:ascii="Seaford" w:cs="Seaford" w:eastAsia="Seaford" w:hAnsi="Seaford"/>
          <w:color w:val="6B6F7B"/>
          <w:sz w:val="18"/>
          <w:szCs w:val="18"/>
        </w:rPr>
        <w:tab/>
      </w:r>
      <w:r>
        <w:rPr>
          <w:rFonts w:ascii="Seaford" w:cs="Seaford" w:eastAsia="Seaford" w:hAnsi="Seaford"/>
          <w:color w:val="6B6F7B"/>
          <w:sz w:val="18"/>
          <w:szCs w:val="18"/>
        </w:rPr>
        <w:t>5</w:t>
      </w:r>
    </w:p>
    <w:p>
      <w:pPr>
        <w:pStyle w:val="TOC2"/>
        <w:tabs>
          <w:tab w:val="right" w:leader="dot" w:pos="9638"/>
        </w:tabs>
        <w:spacing w:before="0" w:after="12"/>
      </w:pPr>
      <w:r>
        <w:rPr>
          <w:rFonts w:ascii="Seaford" w:cs="Seaford" w:eastAsia="Seaford" w:hAnsi="Seaford"/>
          <w:color w:val="2E3338"/>
          <w:sz w:val="18"/>
          <w:szCs w:val="18"/>
        </w:rPr>
        <w:t xml:space="preserve">1.5  Decommissioning and Reuse</w:t>
      </w:r>
      <w:r>
        <w:rPr>
          <w:rFonts w:ascii="Seaford" w:cs="Seaford" w:eastAsia="Seaford" w:hAnsi="Seaford"/>
          <w:color w:val="6B6F7B"/>
          <w:sz w:val="18"/>
          <w:szCs w:val="18"/>
        </w:rPr>
        <w:tab/>
      </w:r>
      <w:r>
        <w:rPr>
          <w:rFonts w:ascii="Seaford" w:cs="Seaford" w:eastAsia="Seaford" w:hAnsi="Seaford"/>
          <w:color w:val="6B6F7B"/>
          <w:sz w:val="18"/>
          <w:szCs w:val="18"/>
        </w:rPr>
        <w:t>6</w:t>
      </w:r>
    </w:p>
    <w:p>
      <w:pPr>
        <w:pStyle w:val="TOC1"/>
        <w:tabs>
          <w:tab w:val="right" w:leader="dot" w:pos="9638"/>
        </w:tabs>
        <w:spacing w:before="150" w:after="30"/>
      </w:pPr>
      <w:r>
        <w:rPr>
          <w:rFonts w:ascii="Seaford" w:cs="Seaford" w:eastAsia="Seaford" w:hAnsi="Seaford"/>
          <w:b/>
          <w:bCs/>
          <w:color w:val="49497F"/>
          <w:sz w:val="20"/>
          <w:szCs w:val="20"/>
        </w:rPr>
        <w:t xml:space="preserve">Section 2  Definitions</w:t>
      </w:r>
      <w:r>
        <w:rPr>
          <w:rFonts w:ascii="Seaford" w:cs="Seaford" w:eastAsia="Seaford" w:hAnsi="Seaford"/>
          <w:b/>
          <w:bCs/>
          <w:color w:val="49497F"/>
          <w:sz w:val="20"/>
          <w:szCs w:val="20"/>
        </w:rPr>
        <w:tab/>
      </w:r>
      <w:r>
        <w:rPr>
          <w:rFonts w:ascii="Seaford" w:cs="Seaford" w:eastAsia="Seaford" w:hAnsi="Seaford"/>
          <w:b/>
          <w:bCs/>
          <w:color w:val="49497F"/>
          <w:sz w:val="20"/>
          <w:szCs w:val="20"/>
        </w:rPr>
        <w:t>7</w:t>
      </w:r>
    </w:p>
    <w:p>
      <w:pPr>
        <w:pStyle w:val="TOC1"/>
        <w:tabs>
          <w:tab w:val="right" w:leader="dot" w:pos="9638"/>
        </w:tabs>
        <w:spacing w:before="150" w:after="30"/>
      </w:pPr>
      <w:r>
        <w:rPr>
          <w:rFonts w:ascii="Seaford" w:cs="Seaford" w:eastAsia="Seaford" w:hAnsi="Seaford"/>
          <w:b/>
          <w:bCs/>
          <w:color w:val="49497F"/>
          <w:sz w:val="20"/>
          <w:szCs w:val="20"/>
        </w:rPr>
        <w:t xml:space="preserve">Section 3  Applicability and Use Classification</w:t>
      </w:r>
      <w:r>
        <w:rPr>
          <w:rFonts w:ascii="Seaford" w:cs="Seaford" w:eastAsia="Seaford" w:hAnsi="Seaford"/>
          <w:b/>
          <w:bCs/>
          <w:color w:val="49497F"/>
          <w:sz w:val="20"/>
          <w:szCs w:val="20"/>
        </w:rPr>
        <w:tab/>
      </w:r>
      <w:r>
        <w:rPr>
          <w:rFonts w:ascii="Seaford" w:cs="Seaford" w:eastAsia="Seaford" w:hAnsi="Seaford"/>
          <w:b/>
          <w:bCs/>
          <w:color w:val="49497F"/>
          <w:sz w:val="20"/>
          <w:szCs w:val="20"/>
        </w:rPr>
        <w:t>9</w:t>
      </w:r>
    </w:p>
    <w:p>
      <w:pPr>
        <w:pStyle w:val="TOC2"/>
        <w:tabs>
          <w:tab w:val="right" w:leader="dot" w:pos="9638"/>
        </w:tabs>
        <w:spacing w:before="0" w:after="12"/>
      </w:pPr>
      <w:r>
        <w:rPr>
          <w:rFonts w:ascii="Seaford" w:cs="Seaford" w:eastAsia="Seaford" w:hAnsi="Seaford"/>
          <w:color w:val="2E3338"/>
          <w:sz w:val="18"/>
          <w:szCs w:val="18"/>
        </w:rPr>
        <w:t xml:space="preserve">3.1  Applicability</w:t>
      </w:r>
      <w:r>
        <w:rPr>
          <w:rFonts w:ascii="Seaford" w:cs="Seaford" w:eastAsia="Seaford" w:hAnsi="Seaford"/>
          <w:color w:val="6B6F7B"/>
          <w:sz w:val="18"/>
          <w:szCs w:val="18"/>
        </w:rPr>
        <w:tab/>
      </w:r>
      <w:r>
        <w:rPr>
          <w:rFonts w:ascii="Seaford" w:cs="Seaford" w:eastAsia="Seaford" w:hAnsi="Seaford"/>
          <w:color w:val="6B6F7B"/>
          <w:sz w:val="18"/>
          <w:szCs w:val="18"/>
        </w:rPr>
        <w:t>9</w:t>
      </w:r>
    </w:p>
    <w:p>
      <w:pPr>
        <w:pStyle w:val="TOC2"/>
        <w:tabs>
          <w:tab w:val="right" w:leader="dot" w:pos="9638"/>
        </w:tabs>
        <w:spacing w:before="0" w:after="12"/>
      </w:pPr>
      <w:r>
        <w:rPr>
          <w:rFonts w:ascii="Seaford" w:cs="Seaford" w:eastAsia="Seaford" w:hAnsi="Seaford"/>
          <w:color w:val="2E3338"/>
          <w:sz w:val="18"/>
          <w:szCs w:val="18"/>
        </w:rPr>
        <w:t xml:space="preserve">3.2  Use Classifications and Permitted Zoning Districts</w:t>
      </w:r>
      <w:r>
        <w:rPr>
          <w:rFonts w:ascii="Seaford" w:cs="Seaford" w:eastAsia="Seaford" w:hAnsi="Seaford"/>
          <w:color w:val="6B6F7B"/>
          <w:sz w:val="18"/>
          <w:szCs w:val="18"/>
        </w:rPr>
        <w:tab/>
      </w:r>
      <w:r>
        <w:rPr>
          <w:rFonts w:ascii="Seaford" w:cs="Seaford" w:eastAsia="Seaford" w:hAnsi="Seaford"/>
          <w:color w:val="6B6F7B"/>
          <w:sz w:val="18"/>
          <w:szCs w:val="18"/>
        </w:rPr>
        <w:t>9</w:t>
      </w:r>
    </w:p>
    <w:p>
      <w:pPr>
        <w:pStyle w:val="TOC1"/>
        <w:tabs>
          <w:tab w:val="right" w:leader="dot" w:pos="9638"/>
        </w:tabs>
        <w:spacing w:before="150" w:after="30"/>
      </w:pPr>
      <w:r>
        <w:rPr>
          <w:rFonts w:ascii="Seaford" w:cs="Seaford" w:eastAsia="Seaford" w:hAnsi="Seaford"/>
          <w:b/>
          <w:bCs/>
          <w:color w:val="49497F"/>
          <w:sz w:val="20"/>
          <w:szCs w:val="20"/>
        </w:rPr>
        <w:t xml:space="preserve">Section 4  Application Requirements</w:t>
      </w:r>
      <w:r>
        <w:rPr>
          <w:rFonts w:ascii="Seaford" w:cs="Seaford" w:eastAsia="Seaford" w:hAnsi="Seaford"/>
          <w:b/>
          <w:bCs/>
          <w:color w:val="49497F"/>
          <w:sz w:val="20"/>
          <w:szCs w:val="20"/>
        </w:rPr>
        <w:tab/>
      </w:r>
      <w:r>
        <w:rPr>
          <w:rFonts w:ascii="Seaford" w:cs="Seaford" w:eastAsia="Seaford" w:hAnsi="Seaford"/>
          <w:b/>
          <w:bCs/>
          <w:color w:val="49497F"/>
          <w:sz w:val="20"/>
          <w:szCs w:val="20"/>
        </w:rPr>
        <w:t>13</w:t>
      </w:r>
    </w:p>
    <w:p>
      <w:pPr>
        <w:pStyle w:val="TOC2"/>
        <w:tabs>
          <w:tab w:val="right" w:leader="dot" w:pos="9638"/>
        </w:tabs>
        <w:spacing w:before="0" w:after="12"/>
      </w:pPr>
      <w:r>
        <w:rPr>
          <w:rFonts w:ascii="Seaford" w:cs="Seaford" w:eastAsia="Seaford" w:hAnsi="Seaford"/>
          <w:color w:val="2E3338"/>
          <w:sz w:val="18"/>
          <w:szCs w:val="18"/>
        </w:rPr>
        <w:t xml:space="preserve">4.1  Pre-Application Conference</w:t>
      </w:r>
      <w:r>
        <w:rPr>
          <w:rFonts w:ascii="Seaford" w:cs="Seaford" w:eastAsia="Seaford" w:hAnsi="Seaford"/>
          <w:color w:val="6B6F7B"/>
          <w:sz w:val="18"/>
          <w:szCs w:val="18"/>
        </w:rPr>
        <w:tab/>
      </w:r>
      <w:r>
        <w:rPr>
          <w:rFonts w:ascii="Seaford" w:cs="Seaford" w:eastAsia="Seaford" w:hAnsi="Seaford"/>
          <w:color w:val="6B6F7B"/>
          <w:sz w:val="18"/>
          <w:szCs w:val="18"/>
        </w:rPr>
        <w:t>13</w:t>
      </w:r>
    </w:p>
    <w:p>
      <w:pPr>
        <w:pStyle w:val="TOC2"/>
        <w:tabs>
          <w:tab w:val="right" w:leader="dot" w:pos="9638"/>
        </w:tabs>
        <w:spacing w:before="0" w:after="12"/>
      </w:pPr>
      <w:r>
        <w:rPr>
          <w:rFonts w:ascii="Seaford" w:cs="Seaford" w:eastAsia="Seaford" w:hAnsi="Seaford"/>
          <w:color w:val="2E3338"/>
          <w:sz w:val="18"/>
          <w:szCs w:val="18"/>
        </w:rPr>
        <w:t xml:space="preserve">4.2  Required Submissions</w:t>
      </w:r>
      <w:r>
        <w:rPr>
          <w:rFonts w:ascii="Seaford" w:cs="Seaford" w:eastAsia="Seaford" w:hAnsi="Seaford"/>
          <w:color w:val="6B6F7B"/>
          <w:sz w:val="18"/>
          <w:szCs w:val="18"/>
        </w:rPr>
        <w:tab/>
      </w:r>
      <w:r>
        <w:rPr>
          <w:rFonts w:ascii="Seaford" w:cs="Seaford" w:eastAsia="Seaford" w:hAnsi="Seaford"/>
          <w:color w:val="6B6F7B"/>
          <w:sz w:val="18"/>
          <w:szCs w:val="18"/>
        </w:rPr>
        <w:t>13</w:t>
      </w:r>
    </w:p>
    <w:p>
      <w:pPr>
        <w:pStyle w:val="TOC2"/>
        <w:tabs>
          <w:tab w:val="right" w:leader="dot" w:pos="9638"/>
        </w:tabs>
        <w:spacing w:before="0" w:after="12"/>
      </w:pPr>
      <w:r>
        <w:rPr>
          <w:rFonts w:ascii="Seaford" w:cs="Seaford" w:eastAsia="Seaford" w:hAnsi="Seaford"/>
          <w:color w:val="2E3338"/>
          <w:sz w:val="18"/>
          <w:szCs w:val="18"/>
        </w:rPr>
        <w:t xml:space="preserve">4.3  Review and Approval Process</w:t>
      </w:r>
      <w:r>
        <w:rPr>
          <w:rFonts w:ascii="Seaford" w:cs="Seaford" w:eastAsia="Seaford" w:hAnsi="Seaford"/>
          <w:color w:val="6B6F7B"/>
          <w:sz w:val="18"/>
          <w:szCs w:val="18"/>
        </w:rPr>
        <w:tab/>
      </w:r>
      <w:r>
        <w:rPr>
          <w:rFonts w:ascii="Seaford" w:cs="Seaford" w:eastAsia="Seaford" w:hAnsi="Seaford"/>
          <w:color w:val="6B6F7B"/>
          <w:sz w:val="18"/>
          <w:szCs w:val="18"/>
        </w:rPr>
        <w:t>14</w:t>
      </w:r>
    </w:p>
    <w:p>
      <w:pPr>
        <w:pStyle w:val="TOC1"/>
        <w:tabs>
          <w:tab w:val="right" w:leader="dot" w:pos="9638"/>
        </w:tabs>
        <w:spacing w:before="150" w:after="30"/>
      </w:pPr>
      <w:r>
        <w:rPr>
          <w:rFonts w:ascii="Seaford" w:cs="Seaford" w:eastAsia="Seaford" w:hAnsi="Seaford"/>
          <w:b/>
          <w:bCs/>
          <w:color w:val="49497F"/>
          <w:sz w:val="20"/>
          <w:szCs w:val="20"/>
        </w:rPr>
        <w:t xml:space="preserve">Section 5  Supplemental Use Standards</w:t>
      </w:r>
      <w:r>
        <w:rPr>
          <w:rFonts w:ascii="Seaford" w:cs="Seaford" w:eastAsia="Seaford" w:hAnsi="Seaford"/>
          <w:b/>
          <w:bCs/>
          <w:color w:val="49497F"/>
          <w:sz w:val="20"/>
          <w:szCs w:val="20"/>
        </w:rPr>
        <w:tab/>
      </w:r>
      <w:r>
        <w:rPr>
          <w:rFonts w:ascii="Seaford" w:cs="Seaford" w:eastAsia="Seaford" w:hAnsi="Seaford"/>
          <w:b/>
          <w:bCs/>
          <w:color w:val="49497F"/>
          <w:sz w:val="20"/>
          <w:szCs w:val="20"/>
        </w:rPr>
        <w:t>15</w:t>
      </w:r>
    </w:p>
    <w:p>
      <w:pPr>
        <w:pStyle w:val="TOC2"/>
        <w:tabs>
          <w:tab w:val="right" w:leader="dot" w:pos="9638"/>
        </w:tabs>
        <w:spacing w:before="0" w:after="12"/>
      </w:pPr>
      <w:r>
        <w:rPr>
          <w:rFonts w:ascii="Seaford" w:cs="Seaford" w:eastAsia="Seaford" w:hAnsi="Seaford"/>
          <w:color w:val="2E3338"/>
          <w:sz w:val="18"/>
          <w:szCs w:val="18"/>
        </w:rPr>
        <w:t xml:space="preserve">5.0  Tiered Standards Overview</w:t>
      </w:r>
      <w:r>
        <w:rPr>
          <w:rFonts w:ascii="Seaford" w:cs="Seaford" w:eastAsia="Seaford" w:hAnsi="Seaford"/>
          <w:color w:val="6B6F7B"/>
          <w:sz w:val="18"/>
          <w:szCs w:val="18"/>
        </w:rPr>
        <w:tab/>
      </w:r>
      <w:r>
        <w:rPr>
          <w:rFonts w:ascii="Seaford" w:cs="Seaford" w:eastAsia="Seaford" w:hAnsi="Seaford"/>
          <w:color w:val="6B6F7B"/>
          <w:sz w:val="18"/>
          <w:szCs w:val="18"/>
        </w:rPr>
        <w:t>15</w:t>
      </w:r>
    </w:p>
    <w:p>
      <w:pPr>
        <w:pStyle w:val="TOC2"/>
        <w:tabs>
          <w:tab w:val="right" w:leader="dot" w:pos="9638"/>
        </w:tabs>
        <w:spacing w:before="0" w:after="12"/>
      </w:pPr>
      <w:r>
        <w:rPr>
          <w:rFonts w:ascii="Seaford" w:cs="Seaford" w:eastAsia="Seaford" w:hAnsi="Seaford"/>
          <w:color w:val="2E3338"/>
          <w:sz w:val="18"/>
          <w:szCs w:val="18"/>
        </w:rPr>
        <w:t xml:space="preserve">5.1  Site Area and Minimum Lot Size</w:t>
      </w:r>
      <w:r>
        <w:rPr>
          <w:rFonts w:ascii="Seaford" w:cs="Seaford" w:eastAsia="Seaford" w:hAnsi="Seaford"/>
          <w:color w:val="6B6F7B"/>
          <w:sz w:val="18"/>
          <w:szCs w:val="18"/>
        </w:rPr>
        <w:tab/>
      </w:r>
      <w:r>
        <w:rPr>
          <w:rFonts w:ascii="Seaford" w:cs="Seaford" w:eastAsia="Seaford" w:hAnsi="Seaford"/>
          <w:color w:val="6B6F7B"/>
          <w:sz w:val="18"/>
          <w:szCs w:val="18"/>
        </w:rPr>
        <w:t>17</w:t>
      </w:r>
    </w:p>
    <w:p>
      <w:pPr>
        <w:pStyle w:val="TOC2"/>
        <w:tabs>
          <w:tab w:val="right" w:leader="dot" w:pos="9638"/>
        </w:tabs>
        <w:spacing w:before="0" w:after="12"/>
      </w:pPr>
      <w:r>
        <w:rPr>
          <w:rFonts w:ascii="Seaford" w:cs="Seaford" w:eastAsia="Seaford" w:hAnsi="Seaford"/>
          <w:color w:val="2E3338"/>
          <w:sz w:val="18"/>
          <w:szCs w:val="18"/>
        </w:rPr>
        <w:t xml:space="preserve">5.2  Setbacks</w:t>
      </w:r>
      <w:r>
        <w:rPr>
          <w:rFonts w:ascii="Seaford" w:cs="Seaford" w:eastAsia="Seaford" w:hAnsi="Seaford"/>
          <w:color w:val="6B6F7B"/>
          <w:sz w:val="18"/>
          <w:szCs w:val="18"/>
        </w:rPr>
        <w:tab/>
      </w:r>
      <w:r>
        <w:rPr>
          <w:rFonts w:ascii="Seaford" w:cs="Seaford" w:eastAsia="Seaford" w:hAnsi="Seaford"/>
          <w:color w:val="6B6F7B"/>
          <w:sz w:val="18"/>
          <w:szCs w:val="18"/>
        </w:rPr>
        <w:t>17</w:t>
      </w:r>
    </w:p>
    <w:p>
      <w:pPr>
        <w:pStyle w:val="TOC2"/>
        <w:tabs>
          <w:tab w:val="right" w:leader="dot" w:pos="9638"/>
        </w:tabs>
        <w:spacing w:before="0" w:after="12"/>
      </w:pPr>
      <w:r>
        <w:rPr>
          <w:rFonts w:ascii="Seaford" w:cs="Seaford" w:eastAsia="Seaford" w:hAnsi="Seaford"/>
          <w:color w:val="2E3338"/>
          <w:sz w:val="18"/>
          <w:szCs w:val="18"/>
        </w:rPr>
        <w:t xml:space="preserve">5.3  Buffers and Landscaping</w:t>
      </w:r>
      <w:r>
        <w:rPr>
          <w:rFonts w:ascii="Seaford" w:cs="Seaford" w:eastAsia="Seaford" w:hAnsi="Seaford"/>
          <w:color w:val="6B6F7B"/>
          <w:sz w:val="18"/>
          <w:szCs w:val="18"/>
        </w:rPr>
        <w:tab/>
      </w:r>
      <w:r>
        <w:rPr>
          <w:rFonts w:ascii="Seaford" w:cs="Seaford" w:eastAsia="Seaford" w:hAnsi="Seaford"/>
          <w:color w:val="6B6F7B"/>
          <w:sz w:val="18"/>
          <w:szCs w:val="18"/>
        </w:rPr>
        <w:t>18</w:t>
      </w:r>
    </w:p>
    <w:p>
      <w:pPr>
        <w:pStyle w:val="TOC2"/>
        <w:tabs>
          <w:tab w:val="right" w:leader="dot" w:pos="9638"/>
        </w:tabs>
        <w:spacing w:before="0" w:after="12"/>
      </w:pPr>
      <w:r>
        <w:rPr>
          <w:rFonts w:ascii="Seaford" w:cs="Seaford" w:eastAsia="Seaford" w:hAnsi="Seaford"/>
          <w:color w:val="2E3338"/>
          <w:sz w:val="18"/>
          <w:szCs w:val="18"/>
        </w:rPr>
        <w:t xml:space="preserve">5.4  Noise Standards</w:t>
      </w:r>
      <w:r>
        <w:rPr>
          <w:rFonts w:ascii="Seaford" w:cs="Seaford" w:eastAsia="Seaford" w:hAnsi="Seaford"/>
          <w:color w:val="6B6F7B"/>
          <w:sz w:val="18"/>
          <w:szCs w:val="18"/>
        </w:rPr>
        <w:tab/>
      </w:r>
      <w:r>
        <w:rPr>
          <w:rFonts w:ascii="Seaford" w:cs="Seaford" w:eastAsia="Seaford" w:hAnsi="Seaford"/>
          <w:color w:val="6B6F7B"/>
          <w:sz w:val="18"/>
          <w:szCs w:val="18"/>
        </w:rPr>
        <w:t>18</w:t>
      </w:r>
    </w:p>
    <w:p>
      <w:pPr>
        <w:pStyle w:val="TOC2"/>
        <w:tabs>
          <w:tab w:val="right" w:leader="dot" w:pos="9638"/>
        </w:tabs>
        <w:spacing w:before="0" w:after="12"/>
      </w:pPr>
      <w:r>
        <w:rPr>
          <w:rFonts w:ascii="Seaford" w:cs="Seaford" w:eastAsia="Seaford" w:hAnsi="Seaford"/>
          <w:color w:val="2E3338"/>
          <w:sz w:val="18"/>
          <w:szCs w:val="18"/>
        </w:rPr>
        <w:t xml:space="preserve">5.5  Energy Consumption</w:t>
      </w:r>
      <w:r>
        <w:rPr>
          <w:rFonts w:ascii="Seaford" w:cs="Seaford" w:eastAsia="Seaford" w:hAnsi="Seaford"/>
          <w:color w:val="6B6F7B"/>
          <w:sz w:val="18"/>
          <w:szCs w:val="18"/>
        </w:rPr>
        <w:tab/>
      </w:r>
      <w:r>
        <w:rPr>
          <w:rFonts w:ascii="Seaford" w:cs="Seaford" w:eastAsia="Seaford" w:hAnsi="Seaford"/>
          <w:color w:val="6B6F7B"/>
          <w:sz w:val="18"/>
          <w:szCs w:val="18"/>
        </w:rPr>
        <w:t>21</w:t>
      </w:r>
    </w:p>
    <w:p>
      <w:pPr>
        <w:pStyle w:val="TOC2"/>
        <w:tabs>
          <w:tab w:val="right" w:leader="dot" w:pos="9638"/>
        </w:tabs>
        <w:spacing w:before="0" w:after="12"/>
      </w:pPr>
      <w:r>
        <w:rPr>
          <w:rFonts w:ascii="Seaford" w:cs="Seaford" w:eastAsia="Seaford" w:hAnsi="Seaford"/>
          <w:color w:val="2E3338"/>
          <w:sz w:val="18"/>
          <w:szCs w:val="18"/>
        </w:rPr>
        <w:t xml:space="preserve">5.6  Water and Wastewater</w:t>
      </w:r>
      <w:r>
        <w:rPr>
          <w:rFonts w:ascii="Seaford" w:cs="Seaford" w:eastAsia="Seaford" w:hAnsi="Seaford"/>
          <w:color w:val="6B6F7B"/>
          <w:sz w:val="18"/>
          <w:szCs w:val="18"/>
        </w:rPr>
        <w:tab/>
      </w:r>
      <w:r>
        <w:rPr>
          <w:rFonts w:ascii="Seaford" w:cs="Seaford" w:eastAsia="Seaford" w:hAnsi="Seaford"/>
          <w:color w:val="6B6F7B"/>
          <w:sz w:val="18"/>
          <w:szCs w:val="18"/>
        </w:rPr>
        <w:t>21</w:t>
      </w:r>
    </w:p>
    <w:p>
      <w:pPr>
        <w:pStyle w:val="TOC2"/>
        <w:tabs>
          <w:tab w:val="right" w:leader="dot" w:pos="9638"/>
        </w:tabs>
        <w:spacing w:before="0" w:after="12"/>
      </w:pPr>
      <w:r>
        <w:rPr>
          <w:rFonts w:ascii="Seaford" w:cs="Seaford" w:eastAsia="Seaford" w:hAnsi="Seaford"/>
          <w:color w:val="2E3338"/>
          <w:sz w:val="18"/>
          <w:szCs w:val="18"/>
        </w:rPr>
        <w:t xml:space="preserve">5.7  Electrical Substations and Infrastructure</w:t>
      </w:r>
      <w:r>
        <w:rPr>
          <w:rFonts w:ascii="Seaford" w:cs="Seaford" w:eastAsia="Seaford" w:hAnsi="Seaford"/>
          <w:color w:val="6B6F7B"/>
          <w:sz w:val="18"/>
          <w:szCs w:val="18"/>
        </w:rPr>
        <w:tab/>
      </w:r>
      <w:r>
        <w:rPr>
          <w:rFonts w:ascii="Seaford" w:cs="Seaford" w:eastAsia="Seaford" w:hAnsi="Seaford"/>
          <w:color w:val="6B6F7B"/>
          <w:sz w:val="18"/>
          <w:szCs w:val="18"/>
        </w:rPr>
        <w:t>24</w:t>
      </w:r>
    </w:p>
    <w:p>
      <w:pPr>
        <w:pStyle w:val="TOC2"/>
        <w:tabs>
          <w:tab w:val="right" w:leader="dot" w:pos="9638"/>
        </w:tabs>
        <w:spacing w:before="0" w:after="12"/>
      </w:pPr>
      <w:r>
        <w:rPr>
          <w:rFonts w:ascii="Seaford" w:cs="Seaford" w:eastAsia="Seaford" w:hAnsi="Seaford"/>
          <w:color w:val="2E3338"/>
          <w:sz w:val="18"/>
          <w:szCs w:val="18"/>
        </w:rPr>
        <w:t xml:space="preserve">5.8  Traffic</w:t>
      </w:r>
      <w:r>
        <w:rPr>
          <w:rFonts w:ascii="Seaford" w:cs="Seaford" w:eastAsia="Seaford" w:hAnsi="Seaford"/>
          <w:color w:val="6B6F7B"/>
          <w:sz w:val="18"/>
          <w:szCs w:val="18"/>
        </w:rPr>
        <w:tab/>
      </w:r>
      <w:r>
        <w:rPr>
          <w:rFonts w:ascii="Seaford" w:cs="Seaford" w:eastAsia="Seaford" w:hAnsi="Seaford"/>
          <w:color w:val="6B6F7B"/>
          <w:sz w:val="18"/>
          <w:szCs w:val="18"/>
        </w:rPr>
        <w:t>24</w:t>
      </w:r>
    </w:p>
    <w:p>
      <w:pPr>
        <w:pStyle w:val="TOC2"/>
        <w:tabs>
          <w:tab w:val="right" w:leader="dot" w:pos="9638"/>
        </w:tabs>
        <w:spacing w:before="0" w:after="12"/>
      </w:pPr>
      <w:r>
        <w:rPr>
          <w:rFonts w:ascii="Seaford" w:cs="Seaford" w:eastAsia="Seaford" w:hAnsi="Seaford"/>
          <w:color w:val="2E3338"/>
          <w:sz w:val="18"/>
          <w:szCs w:val="18"/>
        </w:rPr>
        <w:t xml:space="preserve">5.9  Architectural Design Standards</w:t>
      </w:r>
      <w:r>
        <w:rPr>
          <w:rFonts w:ascii="Seaford" w:cs="Seaford" w:eastAsia="Seaford" w:hAnsi="Seaford"/>
          <w:color w:val="6B6F7B"/>
          <w:sz w:val="18"/>
          <w:szCs w:val="18"/>
        </w:rPr>
        <w:tab/>
      </w:r>
      <w:r>
        <w:rPr>
          <w:rFonts w:ascii="Seaford" w:cs="Seaford" w:eastAsia="Seaford" w:hAnsi="Seaford"/>
          <w:color w:val="6B6F7B"/>
          <w:sz w:val="18"/>
          <w:szCs w:val="18"/>
        </w:rPr>
        <w:t>24</w:t>
      </w:r>
    </w:p>
    <w:p>
      <w:pPr>
        <w:pStyle w:val="TOC2"/>
        <w:tabs>
          <w:tab w:val="right" w:leader="dot" w:pos="9638"/>
        </w:tabs>
        <w:spacing w:before="0" w:after="12"/>
      </w:pPr>
      <w:r>
        <w:rPr>
          <w:rFonts w:ascii="Seaford" w:cs="Seaford" w:eastAsia="Seaford" w:hAnsi="Seaford"/>
          <w:color w:val="2E3338"/>
          <w:sz w:val="18"/>
          <w:szCs w:val="18"/>
        </w:rPr>
        <w:t xml:space="preserve">5.10  Hazardous Materials and Safety</w:t>
      </w:r>
      <w:r>
        <w:rPr>
          <w:rFonts w:ascii="Seaford" w:cs="Seaford" w:eastAsia="Seaford" w:hAnsi="Seaford"/>
          <w:color w:val="6B6F7B"/>
          <w:sz w:val="18"/>
          <w:szCs w:val="18"/>
        </w:rPr>
        <w:tab/>
      </w:r>
      <w:r>
        <w:rPr>
          <w:rFonts w:ascii="Seaford" w:cs="Seaford" w:eastAsia="Seaford" w:hAnsi="Seaford"/>
          <w:color w:val="6B6F7B"/>
          <w:sz w:val="18"/>
          <w:szCs w:val="18"/>
        </w:rPr>
        <w:t>25</w:t>
      </w:r>
    </w:p>
    <w:p>
      <w:pPr>
        <w:pStyle w:val="TOC2"/>
        <w:tabs>
          <w:tab w:val="right" w:leader="dot" w:pos="9638"/>
        </w:tabs>
        <w:spacing w:before="0" w:after="12"/>
      </w:pPr>
      <w:r>
        <w:rPr>
          <w:rFonts w:ascii="Seaford" w:cs="Seaford" w:eastAsia="Seaford" w:hAnsi="Seaford"/>
          <w:color w:val="2E3338"/>
          <w:sz w:val="18"/>
          <w:szCs w:val="18"/>
        </w:rPr>
        <w:t xml:space="preserve">5.11  Environmental Impacts</w:t>
      </w:r>
      <w:r>
        <w:rPr>
          <w:rFonts w:ascii="Seaford" w:cs="Seaford" w:eastAsia="Seaford" w:hAnsi="Seaford"/>
          <w:color w:val="6B6F7B"/>
          <w:sz w:val="18"/>
          <w:szCs w:val="18"/>
        </w:rPr>
        <w:tab/>
      </w:r>
      <w:r>
        <w:rPr>
          <w:rFonts w:ascii="Seaford" w:cs="Seaford" w:eastAsia="Seaford" w:hAnsi="Seaford"/>
          <w:color w:val="6B6F7B"/>
          <w:sz w:val="18"/>
          <w:szCs w:val="18"/>
        </w:rPr>
        <w:t>25</w:t>
      </w:r>
    </w:p>
    <w:p>
      <w:pPr>
        <w:pStyle w:val="TOC1"/>
        <w:tabs>
          <w:tab w:val="right" w:leader="dot" w:pos="9638"/>
        </w:tabs>
        <w:spacing w:before="150" w:after="30"/>
      </w:pPr>
      <w:r>
        <w:rPr>
          <w:rFonts w:ascii="Seaford" w:cs="Seaford" w:eastAsia="Seaford" w:hAnsi="Seaford"/>
          <w:b/>
          <w:bCs/>
          <w:color w:val="49497F"/>
          <w:sz w:val="20"/>
          <w:szCs w:val="20"/>
        </w:rPr>
        <w:t xml:space="preserve">Section 6  Monitoring and Reporting</w:t>
      </w:r>
      <w:r>
        <w:rPr>
          <w:rFonts w:ascii="Seaford" w:cs="Seaford" w:eastAsia="Seaford" w:hAnsi="Seaford"/>
          <w:b/>
          <w:bCs/>
          <w:color w:val="49497F"/>
          <w:sz w:val="20"/>
          <w:szCs w:val="20"/>
        </w:rPr>
        <w:tab/>
      </w:r>
      <w:r>
        <w:rPr>
          <w:rFonts w:ascii="Seaford" w:cs="Seaford" w:eastAsia="Seaford" w:hAnsi="Seaford"/>
          <w:b/>
          <w:bCs/>
          <w:color w:val="49497F"/>
          <w:sz w:val="20"/>
          <w:szCs w:val="20"/>
        </w:rPr>
        <w:t>27</w:t>
      </w:r>
    </w:p>
    <w:p>
      <w:pPr>
        <w:pStyle w:val="TOC2"/>
        <w:tabs>
          <w:tab w:val="right" w:leader="dot" w:pos="9638"/>
        </w:tabs>
        <w:spacing w:before="0" w:after="12"/>
      </w:pPr>
      <w:r>
        <w:rPr>
          <w:rFonts w:ascii="Seaford" w:cs="Seaford" w:eastAsia="Seaford" w:hAnsi="Seaford"/>
          <w:color w:val="2E3338"/>
          <w:sz w:val="18"/>
          <w:szCs w:val="18"/>
        </w:rPr>
        <w:t xml:space="preserve">6.1  Annual Operational Reports</w:t>
      </w:r>
      <w:r>
        <w:rPr>
          <w:rFonts w:ascii="Seaford" w:cs="Seaford" w:eastAsia="Seaford" w:hAnsi="Seaford"/>
          <w:color w:val="6B6F7B"/>
          <w:sz w:val="18"/>
          <w:szCs w:val="18"/>
        </w:rPr>
        <w:tab/>
      </w:r>
      <w:r>
        <w:rPr>
          <w:rFonts w:ascii="Seaford" w:cs="Seaford" w:eastAsia="Seaford" w:hAnsi="Seaford"/>
          <w:color w:val="6B6F7B"/>
          <w:sz w:val="18"/>
          <w:szCs w:val="18"/>
        </w:rPr>
        <w:t>27</w:t>
      </w:r>
    </w:p>
    <w:p>
      <w:pPr>
        <w:pStyle w:val="TOC2"/>
        <w:tabs>
          <w:tab w:val="right" w:leader="dot" w:pos="9638"/>
        </w:tabs>
        <w:spacing w:before="0" w:after="12"/>
      </w:pPr>
      <w:r>
        <w:rPr>
          <w:rFonts w:ascii="Seaford" w:cs="Seaford" w:eastAsia="Seaford" w:hAnsi="Seaford"/>
          <w:color w:val="2E3338"/>
          <w:sz w:val="18"/>
          <w:szCs w:val="18"/>
        </w:rPr>
        <w:t xml:space="preserve">6.2  Noise Monitoring</w:t>
      </w:r>
      <w:r>
        <w:rPr>
          <w:rFonts w:ascii="Seaford" w:cs="Seaford" w:eastAsia="Seaford" w:hAnsi="Seaford"/>
          <w:color w:val="6B6F7B"/>
          <w:sz w:val="18"/>
          <w:szCs w:val="18"/>
        </w:rPr>
        <w:tab/>
      </w:r>
      <w:r>
        <w:rPr>
          <w:rFonts w:ascii="Seaford" w:cs="Seaford" w:eastAsia="Seaford" w:hAnsi="Seaford"/>
          <w:color w:val="6B6F7B"/>
          <w:sz w:val="18"/>
          <w:szCs w:val="18"/>
        </w:rPr>
        <w:t>27</w:t>
      </w:r>
    </w:p>
    <w:p>
      <w:pPr>
        <w:pStyle w:val="TOC2"/>
        <w:tabs>
          <w:tab w:val="right" w:leader="dot" w:pos="9638"/>
        </w:tabs>
        <w:spacing w:before="0" w:after="12"/>
      </w:pPr>
      <w:r>
        <w:rPr>
          <w:rFonts w:ascii="Seaford" w:cs="Seaford" w:eastAsia="Seaford" w:hAnsi="Seaford"/>
          <w:color w:val="2E3338"/>
          <w:sz w:val="18"/>
          <w:szCs w:val="18"/>
        </w:rPr>
        <w:t xml:space="preserve">6.3  Compliance Inspections</w:t>
      </w:r>
      <w:r>
        <w:rPr>
          <w:rFonts w:ascii="Seaford" w:cs="Seaford" w:eastAsia="Seaford" w:hAnsi="Seaford"/>
          <w:color w:val="6B6F7B"/>
          <w:sz w:val="18"/>
          <w:szCs w:val="18"/>
        </w:rPr>
        <w:tab/>
      </w:r>
      <w:r>
        <w:rPr>
          <w:rFonts w:ascii="Seaford" w:cs="Seaford" w:eastAsia="Seaford" w:hAnsi="Seaford"/>
          <w:color w:val="6B6F7B"/>
          <w:sz w:val="18"/>
          <w:szCs w:val="18"/>
        </w:rPr>
        <w:t>28</w:t>
      </w:r>
    </w:p>
    <w:p>
      <w:pPr>
        <w:pStyle w:val="TOC1"/>
        <w:tabs>
          <w:tab w:val="right" w:leader="dot" w:pos="9638"/>
        </w:tabs>
        <w:spacing w:before="150" w:after="30"/>
      </w:pPr>
      <w:r>
        <w:rPr>
          <w:rFonts w:ascii="Seaford" w:cs="Seaford" w:eastAsia="Seaford" w:hAnsi="Seaford"/>
          <w:b/>
          <w:bCs/>
          <w:color w:val="49497F"/>
          <w:sz w:val="20"/>
          <w:szCs w:val="20"/>
        </w:rPr>
        <w:t xml:space="preserve">Section 7  Enforcement</w:t>
      </w:r>
      <w:r>
        <w:rPr>
          <w:rFonts w:ascii="Seaford" w:cs="Seaford" w:eastAsia="Seaford" w:hAnsi="Seaford"/>
          <w:b/>
          <w:bCs/>
          <w:color w:val="49497F"/>
          <w:sz w:val="20"/>
          <w:szCs w:val="20"/>
        </w:rPr>
        <w:tab/>
      </w:r>
      <w:r>
        <w:rPr>
          <w:rFonts w:ascii="Seaford" w:cs="Seaford" w:eastAsia="Seaford" w:hAnsi="Seaford"/>
          <w:b/>
          <w:bCs/>
          <w:color w:val="49497F"/>
          <w:sz w:val="20"/>
          <w:szCs w:val="20"/>
        </w:rPr>
        <w:t>29</w:t>
      </w:r>
    </w:p>
    <w:p>
      <w:pPr>
        <w:pStyle w:val="TOC2"/>
        <w:tabs>
          <w:tab w:val="right" w:leader="dot" w:pos="9638"/>
        </w:tabs>
        <w:spacing w:before="0" w:after="12"/>
      </w:pPr>
      <w:r>
        <w:rPr>
          <w:rFonts w:ascii="Seaford" w:cs="Seaford" w:eastAsia="Seaford" w:hAnsi="Seaford"/>
          <w:color w:val="2E3338"/>
          <w:sz w:val="18"/>
          <w:szCs w:val="18"/>
        </w:rPr>
        <w:t xml:space="preserve">7.1  Violations</w:t>
      </w:r>
      <w:r>
        <w:rPr>
          <w:rFonts w:ascii="Seaford" w:cs="Seaford" w:eastAsia="Seaford" w:hAnsi="Seaford"/>
          <w:color w:val="6B6F7B"/>
          <w:sz w:val="18"/>
          <w:szCs w:val="18"/>
        </w:rPr>
        <w:tab/>
      </w:r>
      <w:r>
        <w:rPr>
          <w:rFonts w:ascii="Seaford" w:cs="Seaford" w:eastAsia="Seaford" w:hAnsi="Seaford"/>
          <w:color w:val="6B6F7B"/>
          <w:sz w:val="18"/>
          <w:szCs w:val="18"/>
        </w:rPr>
        <w:t>29</w:t>
      </w:r>
    </w:p>
    <w:p>
      <w:pPr>
        <w:pStyle w:val="TOC2"/>
        <w:tabs>
          <w:tab w:val="right" w:leader="dot" w:pos="9638"/>
        </w:tabs>
        <w:spacing w:before="0" w:after="12"/>
      </w:pPr>
      <w:r>
        <w:rPr>
          <w:rFonts w:ascii="Seaford" w:cs="Seaford" w:eastAsia="Seaford" w:hAnsi="Seaford"/>
          <w:color w:val="2E3338"/>
          <w:sz w:val="18"/>
          <w:szCs w:val="18"/>
        </w:rPr>
        <w:t xml:space="preserve">7.2  Remedies</w:t>
      </w:r>
      <w:r>
        <w:rPr>
          <w:rFonts w:ascii="Seaford" w:cs="Seaford" w:eastAsia="Seaford" w:hAnsi="Seaford"/>
          <w:color w:val="6B6F7B"/>
          <w:sz w:val="18"/>
          <w:szCs w:val="18"/>
        </w:rPr>
        <w:tab/>
      </w:r>
      <w:r>
        <w:rPr>
          <w:rFonts w:ascii="Seaford" w:cs="Seaford" w:eastAsia="Seaford" w:hAnsi="Seaford"/>
          <w:color w:val="6B6F7B"/>
          <w:sz w:val="18"/>
          <w:szCs w:val="18"/>
        </w:rPr>
        <w:t>30</w:t>
      </w:r>
    </w:p>
    <w:p>
      <w:pPr>
        <w:pStyle w:val="TOC1"/>
        <w:tabs>
          <w:tab w:val="right" w:leader="dot" w:pos="9638"/>
        </w:tabs>
        <w:spacing w:before="150" w:after="30"/>
      </w:pPr>
      <w:r>
        <w:rPr>
          <w:rFonts w:ascii="Seaford" w:cs="Seaford" w:eastAsia="Seaford" w:hAnsi="Seaford"/>
          <w:b/>
          <w:bCs/>
          <w:color w:val="49497F"/>
          <w:sz w:val="20"/>
          <w:szCs w:val="20"/>
        </w:rPr>
        <w:t xml:space="preserve">Section 8  Amendments, Effective Date, and Severability</w:t>
      </w:r>
      <w:r>
        <w:rPr>
          <w:rFonts w:ascii="Seaford" w:cs="Seaford" w:eastAsia="Seaford" w:hAnsi="Seaford"/>
          <w:b/>
          <w:bCs/>
          <w:color w:val="49497F"/>
          <w:sz w:val="20"/>
          <w:szCs w:val="20"/>
        </w:rPr>
        <w:tab/>
      </w:r>
      <w:r>
        <w:rPr>
          <w:rFonts w:ascii="Seaford" w:cs="Seaford" w:eastAsia="Seaford" w:hAnsi="Seaford"/>
          <w:b/>
          <w:bCs/>
          <w:color w:val="49497F"/>
          <w:sz w:val="20"/>
          <w:szCs w:val="20"/>
        </w:rPr>
        <w:t>31</w:t>
      </w:r>
    </w:p>
    <w:p>
      <w:pPr>
        <w:pStyle w:val="TOC2"/>
        <w:tabs>
          <w:tab w:val="right" w:leader="dot" w:pos="9638"/>
        </w:tabs>
        <w:spacing w:before="0" w:after="12"/>
      </w:pPr>
      <w:r>
        <w:rPr>
          <w:rFonts w:ascii="Seaford" w:cs="Seaford" w:eastAsia="Seaford" w:hAnsi="Seaford"/>
          <w:color w:val="2E3338"/>
          <w:sz w:val="18"/>
          <w:szCs w:val="18"/>
        </w:rPr>
        <w:t xml:space="preserve">8.1  Amendments</w:t>
      </w:r>
      <w:r>
        <w:rPr>
          <w:rFonts w:ascii="Seaford" w:cs="Seaford" w:eastAsia="Seaford" w:hAnsi="Seaford"/>
          <w:color w:val="6B6F7B"/>
          <w:sz w:val="18"/>
          <w:szCs w:val="18"/>
        </w:rPr>
        <w:tab/>
      </w:r>
      <w:r>
        <w:rPr>
          <w:rFonts w:ascii="Seaford" w:cs="Seaford" w:eastAsia="Seaford" w:hAnsi="Seaford"/>
          <w:color w:val="6B6F7B"/>
          <w:sz w:val="18"/>
          <w:szCs w:val="18"/>
        </w:rPr>
        <w:t>31</w:t>
      </w:r>
    </w:p>
    <w:p>
      <w:pPr>
        <w:pStyle w:val="TOC2"/>
        <w:tabs>
          <w:tab w:val="right" w:leader="dot" w:pos="9638"/>
        </w:tabs>
        <w:spacing w:before="0" w:after="12"/>
      </w:pPr>
      <w:r>
        <w:rPr>
          <w:rFonts w:ascii="Seaford" w:cs="Seaford" w:eastAsia="Seaford" w:hAnsi="Seaford"/>
          <w:color w:val="2E3338"/>
          <w:sz w:val="18"/>
          <w:szCs w:val="18"/>
        </w:rPr>
        <w:t xml:space="preserve">8.2  Effective Date</w:t>
      </w:r>
      <w:r>
        <w:rPr>
          <w:rFonts w:ascii="Seaford" w:cs="Seaford" w:eastAsia="Seaford" w:hAnsi="Seaford"/>
          <w:color w:val="6B6F7B"/>
          <w:sz w:val="18"/>
          <w:szCs w:val="18"/>
        </w:rPr>
        <w:tab/>
      </w:r>
      <w:r>
        <w:rPr>
          <w:rFonts w:ascii="Seaford" w:cs="Seaford" w:eastAsia="Seaford" w:hAnsi="Seaford"/>
          <w:color w:val="6B6F7B"/>
          <w:sz w:val="18"/>
          <w:szCs w:val="18"/>
        </w:rPr>
        <w:t>31</w:t>
      </w:r>
    </w:p>
    <w:p>
      <w:pPr>
        <w:pStyle w:val="TOC2"/>
        <w:tabs>
          <w:tab w:val="right" w:leader="dot" w:pos="9638"/>
        </w:tabs>
        <w:spacing w:before="0" w:after="12"/>
      </w:pPr>
      <w:r>
        <w:rPr>
          <w:rFonts w:ascii="Seaford" w:cs="Seaford" w:eastAsia="Seaford" w:hAnsi="Seaford"/>
          <w:color w:val="2E3338"/>
          <w:sz w:val="18"/>
          <w:szCs w:val="18"/>
        </w:rPr>
        <w:t xml:space="preserve">8.3  Severability</w:t>
      </w:r>
      <w:r>
        <w:rPr>
          <w:rFonts w:ascii="Seaford" w:cs="Seaford" w:eastAsia="Seaford" w:hAnsi="Seaford"/>
          <w:color w:val="6B6F7B"/>
          <w:sz w:val="18"/>
          <w:szCs w:val="18"/>
        </w:rPr>
        <w:tab/>
      </w:r>
      <w:r>
        <w:rPr>
          <w:rFonts w:ascii="Seaford" w:cs="Seaford" w:eastAsia="Seaford" w:hAnsi="Seaford"/>
          <w:color w:val="6B6F7B"/>
          <w:sz w:val="18"/>
          <w:szCs w:val="18"/>
        </w:rPr>
        <w:t>31</w:t>
      </w:r>
    </w:p>
    <w:p>
      <w:pPr>
        <w:pStyle w:val="Heading1"/>
        <w:pageBreakBefore/>
        <w:pBdr>
          <w:bottom w:val="single" w:color="9FD75C" w:sz="12" w:space="8"/>
        </w:pBdr>
        <w:spacing w:after="300" w:before="120"/>
      </w:pPr>
      <w:bookmarkStart w:id="901" w:name="_TocCP01"/>
      <w:r>
        <w:rPr>
          <w:rFonts w:ascii="Seaford" w:cs="Seaford" w:eastAsia="Seaford" w:hAnsi="Seaford"/>
          <w:b/>
          <w:bCs/>
          <w:color w:val="49497F"/>
          <w:sz w:val="44"/>
          <w:szCs w:val="44"/>
        </w:rPr>
        <w:t xml:space="preserve">How to Use This Document</w:t>
      </w:r>
      <w:bookmarkEnd w:id="901"/>
    </w:p>
    <w:p>
      <w:pPr>
        <w:spacing w:after="140" w:before="0" w:line="276"/>
      </w:pPr>
      <w:r>
        <w:rPr>
          <w:rFonts w:ascii="Seaford" w:cs="Seaford" w:eastAsia="Seaford" w:hAnsi="Seaford"/>
          <w:color w:val="2E3338"/>
          <w:sz w:val="21"/>
          <w:szCs w:val="21"/>
        </w:rPr>
        <w:t xml:space="preserve">This draft ordinance provides a starting framework for local governments in the Central Pines region and across North Carolina considering how to address data center development through their development ordinances. It has been developed through best practice research, review of peer jurisdictions and model ordinances, applicable North Carolina statutes and regulations, technical and practitioner input, and the ongoing work of the Data Center Working Group convened by Central Pines Regional Council. The draft is intended to evolve as new research, technical guidance, and regulatory changes emerge and should be adapted to each community’s existing development ordinances and local context.</w:t>
      </w:r>
    </w:p>
    <w:p>
      <w:pPr>
        <w:spacing w:after="140" w:before="0" w:line="276"/>
      </w:pPr>
      <w:r>
        <w:rPr>
          <w:rFonts w:ascii="Seaford" w:cs="Seaford" w:eastAsia="Seaford" w:hAnsi="Seaford"/>
          <w:b/>
          <w:bCs/>
          <w:color w:val="2E3338"/>
          <w:sz w:val="21"/>
          <w:szCs w:val="21"/>
        </w:rPr>
        <w:t xml:space="preserve">North Carolina Legal Considerations:</w:t>
      </w:r>
      <w:r>
        <w:rPr>
          <w:rFonts w:ascii="Seaford" w:cs="Seaford" w:eastAsia="Seaford" w:hAnsi="Seaford"/>
          <w:color w:val="2E3338"/>
          <w:sz w:val="21"/>
          <w:szCs w:val="21"/>
        </w:rPr>
        <w:t xml:space="preserve"> Communities should consider North Carolina’s down-zoning requirements under N.C.G.S. § 160D-601(d) when adapting this model ordinance. These requirements were enacted through S.L. 2024-57 (S.B. 382). Down-zoning may include reducing the range of permitted uses or development density or making an existing use, structure, or site element nonconforming. Because existing zoning and development regulations vary by community, provisions in this model should be reviewed with the local government attorney before adoption to determine whether they could constitute a down-zoning or raise other questions of local authority. Where appropriate, communities may also consider whether certain project-specific measures are better addressed through conditions mutually agreed upon as part of a conditional zoning rather than as generally applicable ordinance requirements.</w:t>
      </w:r>
    </w:p>
    <w:p>
      <w:pPr>
        <w:spacing w:after="140" w:before="0" w:line="276"/>
      </w:pPr>
      <w:r>
        <w:rPr>
          <w:rFonts w:ascii="Seaford" w:cs="Seaford" w:eastAsia="Seaford" w:hAnsi="Seaford"/>
          <w:i/>
          <w:iCs/>
          <w:color w:val="6B6F7B"/>
          <w:sz w:val="19"/>
          <w:szCs w:val="19"/>
        </w:rPr>
        <w:t xml:space="preserve">Bracketed text </w:t>
      </w:r>
      <w:r>
        <w:rPr>
          <w:rFonts w:ascii="Seaford" w:cs="Seaford" w:eastAsia="Seaford" w:hAnsi="Seaford"/>
          <w:i/>
          <w:iCs/>
          <w:color w:val="6B6F7B"/>
          <w:sz w:val="19"/>
          <w:szCs w:val="19"/>
          <w:shd w:fill="FCE7C5" w:color="auto" w:val="clear"/>
        </w:rPr>
        <w:t xml:space="preserve">[]</w:t>
      </w:r>
      <w:r>
        <w:rPr>
          <w:rFonts w:ascii="Seaford" w:cs="Seaford" w:eastAsia="Seaford" w:hAnsi="Seaford"/>
          <w:i/>
          <w:iCs/>
          <w:color w:val="6B6F7B"/>
          <w:sz w:val="19"/>
          <w:szCs w:val="19"/>
        </w:rPr>
        <w:t xml:space="preserve"> indicates fields a local government must complete. This document is only a starting point for local deliberation and should be reviewed by the local government’s attorney, planning staff, and relevant subject matter professionals prior to adoption.</w:t>
      </w:r>
    </w:p>
    <w:p>
      <w:pPr>
        <w:pStyle w:val="Heading1"/>
        <w:pageBreakBefore/>
        <w:pBdr>
          <w:bottom w:val="single" w:color="9FD75C" w:sz="12" w:space="8"/>
        </w:pBdr>
        <w:spacing w:after="300" w:before="120"/>
      </w:pPr>
      <w:bookmarkStart w:id="902" w:name="_TocCP02"/>
      <w:r>
        <w:rPr>
          <w:rFonts w:ascii="Seaford" w:cs="Seaford" w:eastAsia="Seaford" w:hAnsi="Seaford"/>
          <w:b/>
          <w:bCs/>
          <w:color w:val="49497F"/>
          <w:sz w:val="44"/>
          <w:szCs w:val="44"/>
        </w:rPr>
        <w:t xml:space="preserve">Abbreviations and Acronyms</w:t>
      </w:r>
      <w:bookmarkEnd w:id="902"/>
    </w:p>
    <w:p>
      <w:pPr>
        <w:spacing w:after="140" w:before="0" w:line="276"/>
      </w:pPr>
      <w:r>
        <w:rPr>
          <w:rFonts w:ascii="Seaford" w:cs="Seaford" w:eastAsia="Seaford" w:hAnsi="Seaford"/>
          <w:i/>
          <w:iCs/>
          <w:color w:val="6B6F7B"/>
          <w:sz w:val="19"/>
          <w:szCs w:val="19"/>
        </w:rPr>
        <w:t xml:space="preserve">The following abbreviations appear throughout this ordinance. District designations (CB, I-1, I-2) reflect common North Carolina zoning classifications; local governments should substitute equivalent designations from their UDO where terminology differs.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4644"/>
        <w:gridCol w:w="360"/>
        <w:gridCol w:w="4644"/>
      </w:tblGrid>
      <w:tr>
        <w:tc>
          <w:tcPr>
            <w:tcW w:type="dxa" w:w="4644"/>
            <w:tcBorders>
              <w:top w:val="none" w:color="FFFFFF" w:sz="0"/>
              <w:left w:val="none" w:color="FFFFFF" w:sz="0"/>
              <w:bottom w:val="none" w:color="FFFFFF" w:sz="0"/>
              <w:right w:val="none" w:color="FFFFFF" w:sz="0"/>
            </w:tcBorders>
          </w:tcPr>
          <w:p>
            <w:pPr>
              <w:keepNext/>
              <w:pBdr>
                <w:bottom w:val="single" w:color="9FD75C" w:sz="6" w:space="4"/>
              </w:pBdr>
              <w:spacing w:after="80" w:before="160"/>
            </w:pPr>
            <w:r>
              <w:rPr>
                <w:rFonts w:ascii="Seaford" w:cs="Seaford" w:eastAsia="Seaford" w:hAnsi="Seaford"/>
                <w:b/>
                <w:bCs/>
                <w:color w:val="49497F"/>
                <w:sz w:val="22"/>
                <w:szCs w:val="22"/>
              </w:rPr>
              <w:t xml:space="preserve">Regulatory &amp; Legal</w:t>
            </w:r>
          </w:p>
          <w:p>
            <w:pPr>
              <w:spacing w:after="50"/>
            </w:pPr>
            <w:r>
              <w:rPr>
                <w:rFonts w:ascii="Seaford" w:cs="Seaford" w:eastAsia="Seaford" w:hAnsi="Seaford"/>
                <w:b/>
                <w:bCs/>
                <w:color w:val="2E3338"/>
                <w:sz w:val="20"/>
                <w:szCs w:val="20"/>
              </w:rPr>
              <w:t xml:space="preserve">N.C.G.S.</w:t>
            </w:r>
            <w:r>
              <w:rPr>
                <w:rFonts w:ascii="Seaford" w:cs="Seaford" w:eastAsia="Seaford" w:hAnsi="Seaford"/>
                <w:color w:val="2E3338"/>
                <w:sz w:val="20"/>
                <w:szCs w:val="20"/>
              </w:rPr>
              <w:t xml:space="preserve"> - North Carolina General Statutes</w:t>
            </w:r>
          </w:p>
          <w:p>
            <w:pPr>
              <w:spacing w:after="50"/>
            </w:pPr>
            <w:r>
              <w:rPr>
                <w:rFonts w:ascii="Seaford" w:cs="Seaford" w:eastAsia="Seaford" w:hAnsi="Seaford"/>
                <w:b/>
                <w:bCs/>
                <w:color w:val="2E3338"/>
                <w:sz w:val="20"/>
                <w:szCs w:val="20"/>
              </w:rPr>
              <w:t xml:space="preserve">ETJ</w:t>
            </w:r>
            <w:r>
              <w:rPr>
                <w:rFonts w:ascii="Seaford" w:cs="Seaford" w:eastAsia="Seaford" w:hAnsi="Seaford"/>
                <w:color w:val="2E3338"/>
                <w:sz w:val="20"/>
                <w:szCs w:val="20"/>
              </w:rPr>
              <w:t xml:space="preserve"> - Extraterritorial Jurisdiction</w:t>
            </w:r>
          </w:p>
          <w:p>
            <w:pPr>
              <w:spacing w:after="50"/>
            </w:pPr>
            <w:r>
              <w:rPr>
                <w:rFonts w:ascii="Seaford" w:cs="Seaford" w:eastAsia="Seaford" w:hAnsi="Seaford"/>
                <w:b/>
                <w:bCs/>
                <w:color w:val="2E3338"/>
                <w:sz w:val="20"/>
                <w:szCs w:val="20"/>
              </w:rPr>
              <w:t xml:space="preserve">UDO</w:t>
            </w:r>
            <w:r>
              <w:rPr>
                <w:rFonts w:ascii="Seaford" w:cs="Seaford" w:eastAsia="Seaford" w:hAnsi="Seaford"/>
                <w:color w:val="2E3338"/>
                <w:sz w:val="20"/>
                <w:szCs w:val="20"/>
              </w:rPr>
              <w:t xml:space="preserve"> - Unified Development Ordinance</w:t>
            </w:r>
          </w:p>
          <w:p>
            <w:pPr>
              <w:spacing w:after="50"/>
            </w:pPr>
            <w:r>
              <w:rPr>
                <w:rFonts w:ascii="Seaford" w:cs="Seaford" w:eastAsia="Seaford" w:hAnsi="Seaford"/>
                <w:b/>
                <w:bCs/>
                <w:color w:val="2E3338"/>
                <w:sz w:val="20"/>
                <w:szCs w:val="20"/>
              </w:rPr>
              <w:t xml:space="preserve">NCDOT</w:t>
            </w:r>
            <w:r>
              <w:rPr>
                <w:rFonts w:ascii="Seaford" w:cs="Seaford" w:eastAsia="Seaford" w:hAnsi="Seaford"/>
                <w:color w:val="2E3338"/>
                <w:sz w:val="20"/>
                <w:szCs w:val="20"/>
              </w:rPr>
              <w:t xml:space="preserve"> - North Carolina Department of Transportation</w:t>
            </w:r>
          </w:p>
          <w:p>
            <w:pPr>
              <w:spacing w:after="50"/>
            </w:pPr>
            <w:r>
              <w:rPr>
                <w:rFonts w:ascii="Seaford" w:cs="Seaford" w:eastAsia="Seaford" w:hAnsi="Seaford"/>
                <w:b/>
                <w:bCs/>
                <w:color w:val="2E3338"/>
                <w:sz w:val="20"/>
                <w:szCs w:val="20"/>
              </w:rPr>
              <w:t xml:space="preserve">NCDEQ</w:t>
            </w:r>
            <w:r>
              <w:rPr>
                <w:rFonts w:ascii="Seaford" w:cs="Seaford" w:eastAsia="Seaford" w:hAnsi="Seaford"/>
                <w:color w:val="2E3338"/>
                <w:sz w:val="20"/>
                <w:szCs w:val="20"/>
              </w:rPr>
              <w:t xml:space="preserve"> - North Carolina Department of Environmental Quality</w:t>
            </w:r>
          </w:p>
          <w:p>
            <w:pPr>
              <w:spacing w:after="50"/>
            </w:pPr>
            <w:r>
              <w:rPr>
                <w:rFonts w:ascii="Seaford" w:cs="Seaford" w:eastAsia="Seaford" w:hAnsi="Seaford"/>
                <w:b/>
                <w:bCs/>
                <w:color w:val="2E3338"/>
                <w:sz w:val="20"/>
                <w:szCs w:val="20"/>
              </w:rPr>
              <w:t xml:space="preserve">NCDAQ</w:t>
            </w:r>
            <w:r>
              <w:rPr>
                <w:rFonts w:ascii="Seaford" w:cs="Seaford" w:eastAsia="Seaford" w:hAnsi="Seaford"/>
                <w:color w:val="2E3338"/>
                <w:sz w:val="20"/>
                <w:szCs w:val="20"/>
              </w:rPr>
              <w:t xml:space="preserve"> - North Carolina Division of Air Quality</w:t>
            </w:r>
          </w:p>
          <w:p>
            <w:pPr>
              <w:spacing w:after="50"/>
            </w:pPr>
            <w:r>
              <w:rPr>
                <w:rFonts w:ascii="Seaford" w:cs="Seaford" w:eastAsia="Seaford" w:hAnsi="Seaford"/>
                <w:b/>
                <w:bCs/>
                <w:color w:val="2E3338"/>
                <w:sz w:val="20"/>
                <w:szCs w:val="20"/>
              </w:rPr>
              <w:t xml:space="preserve">EPA</w:t>
            </w:r>
            <w:r>
              <w:rPr>
                <w:rFonts w:ascii="Seaford" w:cs="Seaford" w:eastAsia="Seaford" w:hAnsi="Seaford"/>
                <w:color w:val="2E3338"/>
                <w:sz w:val="20"/>
                <w:szCs w:val="20"/>
              </w:rPr>
              <w:t xml:space="preserve"> - U.S. Environmental Protection Agency</w:t>
            </w:r>
          </w:p>
          <w:p>
            <w:pPr>
              <w:spacing w:after="50"/>
            </w:pPr>
            <w:r>
              <w:rPr>
                <w:rFonts w:ascii="Seaford" w:cs="Seaford" w:eastAsia="Seaford" w:hAnsi="Seaford"/>
                <w:b/>
                <w:bCs/>
                <w:color w:val="2E3338"/>
                <w:sz w:val="20"/>
                <w:szCs w:val="20"/>
              </w:rPr>
              <w:t xml:space="preserve">CDC</w:t>
            </w:r>
            <w:r>
              <w:rPr>
                <w:rFonts w:ascii="Seaford" w:cs="Seaford" w:eastAsia="Seaford" w:hAnsi="Seaford"/>
                <w:color w:val="2E3338"/>
                <w:sz w:val="20"/>
                <w:szCs w:val="20"/>
              </w:rPr>
              <w:t xml:space="preserve"> - Centers for Disease Control and Prevention</w:t>
            </w:r>
          </w:p>
          <w:p>
            <w:pPr>
              <w:keepNext/>
              <w:pBdr>
                <w:bottom w:val="single" w:color="9FD75C" w:sz="6" w:space="4"/>
              </w:pBdr>
              <w:spacing w:after="80" w:before="160"/>
            </w:pPr>
            <w:r>
              <w:rPr>
                <w:rFonts w:ascii="Seaford" w:cs="Seaford" w:eastAsia="Seaford" w:hAnsi="Seaford"/>
                <w:b/>
                <w:bCs/>
                <w:color w:val="49497F"/>
                <w:sz w:val="22"/>
                <w:szCs w:val="22"/>
              </w:rPr>
              <w:t xml:space="preserve">Zoning Districts</w:t>
            </w:r>
          </w:p>
          <w:p>
            <w:pPr>
              <w:spacing w:after="50"/>
            </w:pPr>
            <w:r>
              <w:rPr>
                <w:rFonts w:ascii="Seaford" w:cs="Seaford" w:eastAsia="Seaford" w:hAnsi="Seaford"/>
                <w:b/>
                <w:bCs/>
                <w:color w:val="2E3338"/>
                <w:sz w:val="20"/>
                <w:szCs w:val="20"/>
              </w:rPr>
              <w:t xml:space="preserve">CB</w:t>
            </w:r>
            <w:r>
              <w:rPr>
                <w:rFonts w:ascii="Seaford" w:cs="Seaford" w:eastAsia="Seaford" w:hAnsi="Seaford"/>
                <w:color w:val="2E3338"/>
                <w:sz w:val="20"/>
                <w:szCs w:val="20"/>
              </w:rPr>
              <w:t xml:space="preserve"> - Commercial Business</w:t>
            </w:r>
          </w:p>
          <w:p>
            <w:pPr>
              <w:spacing w:after="50"/>
            </w:pPr>
            <w:r>
              <w:rPr>
                <w:rFonts w:ascii="Seaford" w:cs="Seaford" w:eastAsia="Seaford" w:hAnsi="Seaford"/>
                <w:b/>
                <w:bCs/>
                <w:color w:val="2E3338"/>
                <w:sz w:val="20"/>
                <w:szCs w:val="20"/>
              </w:rPr>
              <w:t xml:space="preserve">I-1</w:t>
            </w:r>
            <w:r>
              <w:rPr>
                <w:rFonts w:ascii="Seaford" w:cs="Seaford" w:eastAsia="Seaford" w:hAnsi="Seaford"/>
                <w:color w:val="2E3338"/>
                <w:sz w:val="20"/>
                <w:szCs w:val="20"/>
              </w:rPr>
              <w:t xml:space="preserve"> - Light Industrial</w:t>
            </w:r>
          </w:p>
          <w:p>
            <w:pPr>
              <w:spacing w:after="50"/>
            </w:pPr>
            <w:r>
              <w:rPr>
                <w:rFonts w:ascii="Seaford" w:cs="Seaford" w:eastAsia="Seaford" w:hAnsi="Seaford"/>
                <w:b/>
                <w:bCs/>
                <w:color w:val="2E3338"/>
                <w:sz w:val="20"/>
                <w:szCs w:val="20"/>
              </w:rPr>
              <w:t xml:space="preserve">I-2</w:t>
            </w:r>
            <w:r>
              <w:rPr>
                <w:rFonts w:ascii="Seaford" w:cs="Seaford" w:eastAsia="Seaford" w:hAnsi="Seaford"/>
                <w:color w:val="2E3338"/>
                <w:sz w:val="20"/>
                <w:szCs w:val="20"/>
              </w:rPr>
              <w:t xml:space="preserve"> - Heavy Industrial</w:t>
            </w:r>
          </w:p>
          <w:p>
            <w:pPr>
              <w:keepNext/>
              <w:pBdr>
                <w:bottom w:val="single" w:color="9FD75C" w:sz="6" w:space="4"/>
              </w:pBdr>
              <w:spacing w:after="80" w:before="160"/>
            </w:pPr>
            <w:r>
              <w:rPr>
                <w:rFonts w:ascii="Seaford" w:cs="Seaford" w:eastAsia="Seaford" w:hAnsi="Seaford"/>
                <w:b/>
                <w:bCs/>
                <w:color w:val="49497F"/>
                <w:sz w:val="22"/>
                <w:szCs w:val="22"/>
              </w:rPr>
              <w:t xml:space="preserve">Permits &amp; Processes</w:t>
            </w:r>
          </w:p>
          <w:p>
            <w:pPr>
              <w:spacing w:after="50"/>
            </w:pPr>
            <w:r>
              <w:rPr>
                <w:rFonts w:ascii="Seaford" w:cs="Seaford" w:eastAsia="Seaford" w:hAnsi="Seaford"/>
                <w:b/>
                <w:bCs/>
                <w:color w:val="2E3338"/>
                <w:sz w:val="20"/>
                <w:szCs w:val="20"/>
              </w:rPr>
              <w:t xml:space="preserve">CZ</w:t>
            </w:r>
            <w:r>
              <w:rPr>
                <w:rFonts w:ascii="Seaford" w:cs="Seaford" w:eastAsia="Seaford" w:hAnsi="Seaford"/>
                <w:color w:val="2E3338"/>
                <w:sz w:val="20"/>
                <w:szCs w:val="20"/>
              </w:rPr>
              <w:t xml:space="preserve"> - Conditional Zoning</w:t>
            </w:r>
          </w:p>
          <w:p>
            <w:pPr>
              <w:spacing w:after="50"/>
            </w:pPr>
            <w:r>
              <w:rPr>
                <w:rFonts w:ascii="Seaford" w:cs="Seaford" w:eastAsia="Seaford" w:hAnsi="Seaford"/>
                <w:b/>
                <w:bCs/>
                <w:color w:val="2E3338"/>
                <w:sz w:val="20"/>
                <w:szCs w:val="20"/>
              </w:rPr>
              <w:t xml:space="preserve">TIA</w:t>
            </w:r>
            <w:r>
              <w:rPr>
                <w:rFonts w:ascii="Seaford" w:cs="Seaford" w:eastAsia="Seaford" w:hAnsi="Seaford"/>
                <w:color w:val="2E3338"/>
                <w:sz w:val="20"/>
                <w:szCs w:val="20"/>
              </w:rPr>
              <w:t xml:space="preserve"> - Traffic Impact Analysis</w:t>
            </w:r>
          </w:p>
          <w:p>
            <w:pPr>
              <w:spacing w:after="50"/>
            </w:pPr>
            <w:r>
              <w:rPr>
                <w:rFonts w:ascii="Seaford" w:cs="Seaford" w:eastAsia="Seaford" w:hAnsi="Seaford"/>
                <w:b/>
                <w:bCs/>
                <w:color w:val="2E3338"/>
                <w:sz w:val="20"/>
                <w:szCs w:val="20"/>
              </w:rPr>
              <w:t xml:space="preserve">SUP</w:t>
            </w:r>
            <w:r>
              <w:rPr>
                <w:rFonts w:ascii="Seaford" w:cs="Seaford" w:eastAsia="Seaford" w:hAnsi="Seaford"/>
                <w:color w:val="2E3338"/>
                <w:sz w:val="20"/>
                <w:szCs w:val="20"/>
              </w:rPr>
              <w:t xml:space="preserve"> - Special Use Permit</w:t>
            </w:r>
          </w:p>
        </w:tc>
        <w:tc>
          <w:tcPr>
            <w:tcW w:type="dxa" w:w="360"/>
            <w:tcBorders>
              <w:top w:val="none" w:color="FFFFFF" w:sz="0"/>
              <w:left w:val="none" w:color="FFFFFF" w:sz="0"/>
              <w:bottom w:val="none" w:color="FFFFFF" w:sz="0"/>
              <w:right w:val="none" w:color="FFFFFF" w:sz="0"/>
            </w:tcBorders>
          </w:tcPr>
          <w:p/>
        </w:tc>
        <w:tc>
          <w:tcPr>
            <w:tcW w:type="dxa" w:w="4644"/>
            <w:tcBorders>
              <w:top w:val="none" w:color="FFFFFF" w:sz="0"/>
              <w:left w:val="none" w:color="FFFFFF" w:sz="0"/>
              <w:bottom w:val="none" w:color="FFFFFF" w:sz="0"/>
              <w:right w:val="none" w:color="FFFFFF" w:sz="0"/>
            </w:tcBorders>
          </w:tcPr>
          <w:p>
            <w:pPr>
              <w:keepNext/>
              <w:pBdr>
                <w:bottom w:val="single" w:color="9FD75C" w:sz="6" w:space="4"/>
              </w:pBdr>
              <w:spacing w:after="80" w:before="160"/>
            </w:pPr>
            <w:r>
              <w:rPr>
                <w:rFonts w:ascii="Seaford" w:cs="Seaford" w:eastAsia="Seaford" w:hAnsi="Seaford"/>
                <w:b/>
                <w:bCs/>
                <w:color w:val="49497F"/>
                <w:sz w:val="22"/>
                <w:szCs w:val="22"/>
              </w:rPr>
              <w:t xml:space="preserve">Technical / Data Center</w:t>
            </w:r>
          </w:p>
          <w:p>
            <w:pPr>
              <w:spacing w:after="50"/>
            </w:pPr>
            <w:r>
              <w:rPr>
                <w:rFonts w:ascii="Seaford" w:cs="Seaford" w:eastAsia="Seaford" w:hAnsi="Seaford"/>
                <w:b/>
                <w:bCs/>
                <w:color w:val="2E3338"/>
                <w:sz w:val="20"/>
                <w:szCs w:val="20"/>
              </w:rPr>
              <w:t xml:space="preserve">BESS</w:t>
            </w:r>
            <w:r>
              <w:rPr>
                <w:rFonts w:ascii="Seaford" w:cs="Seaford" w:eastAsia="Seaford" w:hAnsi="Seaford"/>
                <w:color w:val="2E3338"/>
                <w:sz w:val="20"/>
                <w:szCs w:val="20"/>
              </w:rPr>
              <w:t xml:space="preserve"> - Battery Energy Storage System</w:t>
            </w:r>
          </w:p>
          <w:p>
            <w:pPr>
              <w:spacing w:after="50"/>
            </w:pPr>
            <w:r>
              <w:rPr>
                <w:rFonts w:ascii="Seaford" w:cs="Seaford" w:eastAsia="Seaford" w:hAnsi="Seaford"/>
                <w:b/>
                <w:bCs/>
                <w:color w:val="2E3338"/>
                <w:sz w:val="20"/>
                <w:szCs w:val="20"/>
              </w:rPr>
              <w:t xml:space="preserve">IT</w:t>
            </w:r>
            <w:r>
              <w:rPr>
                <w:rFonts w:ascii="Seaford" w:cs="Seaford" w:eastAsia="Seaford" w:hAnsi="Seaford"/>
                <w:color w:val="2E3338"/>
                <w:sz w:val="20"/>
                <w:szCs w:val="20"/>
              </w:rPr>
              <w:t xml:space="preserve"> - Information Technology</w:t>
            </w:r>
          </w:p>
          <w:p>
            <w:pPr>
              <w:spacing w:after="50"/>
            </w:pPr>
            <w:r>
              <w:rPr>
                <w:rFonts w:ascii="Seaford" w:cs="Seaford" w:eastAsia="Seaford" w:hAnsi="Seaford"/>
                <w:b/>
                <w:bCs/>
                <w:color w:val="2E3338"/>
                <w:sz w:val="20"/>
                <w:szCs w:val="20"/>
              </w:rPr>
              <w:t xml:space="preserve">MW</w:t>
            </w:r>
            <w:r>
              <w:rPr>
                <w:rFonts w:ascii="Seaford" w:cs="Seaford" w:eastAsia="Seaford" w:hAnsi="Seaford"/>
                <w:color w:val="2E3338"/>
                <w:sz w:val="20"/>
                <w:szCs w:val="20"/>
              </w:rPr>
              <w:t xml:space="preserve"> - Megawatt</w:t>
            </w:r>
          </w:p>
          <w:p>
            <w:pPr>
              <w:spacing w:after="50"/>
            </w:pPr>
            <w:r>
              <w:rPr>
                <w:rFonts w:ascii="Seaford" w:cs="Seaford" w:eastAsia="Seaford" w:hAnsi="Seaford"/>
                <w:b/>
                <w:bCs/>
                <w:color w:val="2E3338"/>
                <w:sz w:val="20"/>
                <w:szCs w:val="20"/>
              </w:rPr>
              <w:t xml:space="preserve">MWh</w:t>
            </w:r>
            <w:r>
              <w:rPr>
                <w:rFonts w:ascii="Seaford" w:cs="Seaford" w:eastAsia="Seaford" w:hAnsi="Seaford"/>
                <w:color w:val="2E3338"/>
                <w:sz w:val="20"/>
                <w:szCs w:val="20"/>
              </w:rPr>
              <w:t xml:space="preserve"> - Megawatt-hour</w:t>
            </w:r>
          </w:p>
          <w:p>
            <w:pPr>
              <w:spacing w:after="50"/>
            </w:pPr>
            <w:r>
              <w:rPr>
                <w:rFonts w:ascii="Seaford" w:cs="Seaford" w:eastAsia="Seaford" w:hAnsi="Seaford"/>
                <w:b/>
                <w:bCs/>
                <w:color w:val="2E3338"/>
                <w:sz w:val="20"/>
                <w:szCs w:val="20"/>
              </w:rPr>
              <w:t xml:space="preserve">MGD</w:t>
            </w:r>
            <w:r>
              <w:rPr>
                <w:rFonts w:ascii="Seaford" w:cs="Seaford" w:eastAsia="Seaford" w:hAnsi="Seaford"/>
                <w:color w:val="2E3338"/>
                <w:sz w:val="20"/>
                <w:szCs w:val="20"/>
              </w:rPr>
              <w:t xml:space="preserve"> - Million Gallons Per Day</w:t>
            </w:r>
          </w:p>
          <w:p>
            <w:pPr>
              <w:spacing w:after="50"/>
            </w:pPr>
            <w:r>
              <w:rPr>
                <w:rFonts w:ascii="Seaford" w:cs="Seaford" w:eastAsia="Seaford" w:hAnsi="Seaford"/>
                <w:b/>
                <w:bCs/>
                <w:color w:val="2E3338"/>
                <w:sz w:val="20"/>
                <w:szCs w:val="20"/>
              </w:rPr>
              <w:t xml:space="preserve">PUE</w:t>
            </w:r>
            <w:r>
              <w:rPr>
                <w:rFonts w:ascii="Seaford" w:cs="Seaford" w:eastAsia="Seaford" w:hAnsi="Seaford"/>
                <w:color w:val="2E3338"/>
                <w:sz w:val="20"/>
                <w:szCs w:val="20"/>
              </w:rPr>
              <w:t xml:space="preserve"> - Power Usage Effectiveness</w:t>
            </w:r>
          </w:p>
          <w:p>
            <w:pPr>
              <w:spacing w:after="50"/>
            </w:pPr>
            <w:r>
              <w:rPr>
                <w:rFonts w:ascii="Seaford" w:cs="Seaford" w:eastAsia="Seaford" w:hAnsi="Seaford"/>
                <w:b/>
                <w:bCs/>
                <w:color w:val="2E3338"/>
                <w:sz w:val="20"/>
                <w:szCs w:val="20"/>
              </w:rPr>
              <w:t xml:space="preserve">WUE</w:t>
            </w:r>
            <w:r>
              <w:rPr>
                <w:rFonts w:ascii="Seaford" w:cs="Seaford" w:eastAsia="Seaford" w:hAnsi="Seaford"/>
                <w:color w:val="2E3338"/>
                <w:sz w:val="20"/>
                <w:szCs w:val="20"/>
              </w:rPr>
              <w:t xml:space="preserve"> - Water Usage Effectiveness</w:t>
            </w:r>
          </w:p>
          <w:p>
            <w:pPr>
              <w:spacing w:after="50"/>
            </w:pPr>
            <w:r>
              <w:rPr>
                <w:rFonts w:ascii="Seaford" w:cs="Seaford" w:eastAsia="Seaford" w:hAnsi="Seaford"/>
                <w:b/>
                <w:bCs/>
                <w:color w:val="2E3338"/>
                <w:sz w:val="20"/>
                <w:szCs w:val="20"/>
              </w:rPr>
              <w:t xml:space="preserve">CNEL</w:t>
            </w:r>
            <w:r>
              <w:rPr>
                <w:rFonts w:ascii="Seaford" w:cs="Seaford" w:eastAsia="Seaford" w:hAnsi="Seaford"/>
                <w:color w:val="2E3338"/>
                <w:sz w:val="20"/>
                <w:szCs w:val="20"/>
              </w:rPr>
              <w:t xml:space="preserve"> - Community Noise Equivalent Level</w:t>
            </w:r>
          </w:p>
          <w:p>
            <w:pPr>
              <w:spacing w:after="50"/>
            </w:pPr>
            <w:r>
              <w:rPr>
                <w:rFonts w:ascii="Seaford" w:cs="Seaford" w:eastAsia="Seaford" w:hAnsi="Seaford"/>
                <w:b/>
                <w:bCs/>
                <w:color w:val="2E3338"/>
                <w:sz w:val="20"/>
                <w:szCs w:val="20"/>
              </w:rPr>
              <w:t xml:space="preserve">dBA</w:t>
            </w:r>
            <w:r>
              <w:rPr>
                <w:rFonts w:ascii="Seaford" w:cs="Seaford" w:eastAsia="Seaford" w:hAnsi="Seaford"/>
                <w:color w:val="2E3338"/>
                <w:sz w:val="20"/>
                <w:szCs w:val="20"/>
              </w:rPr>
              <w:t xml:space="preserve"> - A-weighted decibels</w:t>
            </w:r>
          </w:p>
          <w:p>
            <w:pPr>
              <w:spacing w:after="50"/>
            </w:pPr>
            <w:r>
              <w:rPr>
                <w:rFonts w:ascii="Seaford" w:cs="Seaford" w:eastAsia="Seaford" w:hAnsi="Seaford"/>
                <w:b/>
                <w:bCs/>
                <w:color w:val="2E3338"/>
                <w:sz w:val="20"/>
                <w:szCs w:val="20"/>
              </w:rPr>
              <w:t xml:space="preserve">dBC</w:t>
            </w:r>
            <w:r>
              <w:rPr>
                <w:rFonts w:ascii="Seaford" w:cs="Seaford" w:eastAsia="Seaford" w:hAnsi="Seaford"/>
                <w:color w:val="2E3338"/>
                <w:sz w:val="20"/>
                <w:szCs w:val="20"/>
              </w:rPr>
              <w:t xml:space="preserve"> - C-weighted decibels</w:t>
            </w:r>
          </w:p>
          <w:p>
            <w:pPr>
              <w:spacing w:after="50"/>
            </w:pPr>
            <w:r>
              <w:rPr>
                <w:rFonts w:ascii="Seaford" w:cs="Seaford" w:eastAsia="Seaford" w:hAnsi="Seaford"/>
                <w:b/>
                <w:bCs/>
                <w:color w:val="2E3338"/>
                <w:sz w:val="20"/>
                <w:szCs w:val="20"/>
              </w:rPr>
              <w:t xml:space="preserve">dBZ</w:t>
            </w:r>
            <w:r>
              <w:rPr>
                <w:rFonts w:ascii="Seaford" w:cs="Seaford" w:eastAsia="Seaford" w:hAnsi="Seaford"/>
                <w:color w:val="2E3338"/>
                <w:sz w:val="20"/>
                <w:szCs w:val="20"/>
              </w:rPr>
              <w:t xml:space="preserve"> - Unweighted (flat) decibels</w:t>
            </w:r>
          </w:p>
          <w:p>
            <w:pPr>
              <w:spacing w:after="50"/>
            </w:pPr>
            <w:r>
              <w:rPr>
                <w:rFonts w:ascii="Seaford" w:cs="Seaford" w:eastAsia="Seaford" w:hAnsi="Seaford"/>
                <w:b/>
                <w:bCs/>
                <w:color w:val="2E3338"/>
                <w:sz w:val="20"/>
                <w:szCs w:val="20"/>
              </w:rPr>
              <w:t xml:space="preserve">EIFS</w:t>
            </w:r>
            <w:r>
              <w:rPr>
                <w:rFonts w:ascii="Seaford" w:cs="Seaford" w:eastAsia="Seaford" w:hAnsi="Seaford"/>
                <w:color w:val="2E3338"/>
                <w:sz w:val="20"/>
                <w:szCs w:val="20"/>
              </w:rPr>
              <w:t xml:space="preserve"> - Exterior Insulation and Finish System</w:t>
            </w:r>
          </w:p>
          <w:p>
            <w:pPr>
              <w:keepNext/>
              <w:pBdr>
                <w:bottom w:val="single" w:color="9FD75C" w:sz="6" w:space="4"/>
              </w:pBdr>
              <w:spacing w:after="80" w:before="160"/>
            </w:pPr>
            <w:r>
              <w:rPr>
                <w:rFonts w:ascii="Seaford" w:cs="Seaford" w:eastAsia="Seaford" w:hAnsi="Seaford"/>
                <w:b/>
                <w:bCs/>
                <w:color w:val="49497F"/>
                <w:sz w:val="22"/>
                <w:szCs w:val="22"/>
              </w:rPr>
              <w:t xml:space="preserve">Standards &amp; Codes</w:t>
            </w:r>
          </w:p>
          <w:p>
            <w:pPr>
              <w:spacing w:after="50"/>
            </w:pPr>
            <w:r>
              <w:rPr>
                <w:rFonts w:ascii="Seaford" w:cs="Seaford" w:eastAsia="Seaford" w:hAnsi="Seaford"/>
                <w:b/>
                <w:bCs/>
                <w:color w:val="2E3338"/>
                <w:sz w:val="20"/>
                <w:szCs w:val="20"/>
              </w:rPr>
              <w:t xml:space="preserve">NFPA</w:t>
            </w:r>
            <w:r>
              <w:rPr>
                <w:rFonts w:ascii="Seaford" w:cs="Seaford" w:eastAsia="Seaford" w:hAnsi="Seaford"/>
                <w:color w:val="2E3338"/>
                <w:sz w:val="20"/>
                <w:szCs w:val="20"/>
              </w:rPr>
              <w:t xml:space="preserve"> - National Fire Protection Association</w:t>
            </w:r>
          </w:p>
          <w:p>
            <w:pPr>
              <w:spacing w:after="50"/>
            </w:pPr>
            <w:r>
              <w:rPr>
                <w:rFonts w:ascii="Seaford" w:cs="Seaford" w:eastAsia="Seaford" w:hAnsi="Seaford"/>
                <w:b/>
                <w:bCs/>
                <w:color w:val="2E3338"/>
                <w:sz w:val="20"/>
                <w:szCs w:val="20"/>
              </w:rPr>
              <w:t xml:space="preserve">INCE</w:t>
            </w:r>
            <w:r>
              <w:rPr>
                <w:rFonts w:ascii="Seaford" w:cs="Seaford" w:eastAsia="Seaford" w:hAnsi="Seaford"/>
                <w:color w:val="2E3338"/>
                <w:sz w:val="20"/>
                <w:szCs w:val="20"/>
              </w:rPr>
              <w:t xml:space="preserve"> - Institute of Noise Control Engineering</w:t>
            </w:r>
          </w:p>
          <w:p>
            <w:pPr>
              <w:spacing w:after="50"/>
            </w:pPr>
            <w:r>
              <w:rPr>
                <w:rFonts w:ascii="Seaford" w:cs="Seaford" w:eastAsia="Seaford" w:hAnsi="Seaford"/>
                <w:b/>
                <w:bCs/>
                <w:color w:val="2E3338"/>
                <w:sz w:val="20"/>
                <w:szCs w:val="20"/>
              </w:rPr>
              <w:t xml:space="preserve">ASHRAE</w:t>
            </w:r>
            <w:r>
              <w:rPr>
                <w:rFonts w:ascii="Seaford" w:cs="Seaford" w:eastAsia="Seaford" w:hAnsi="Seaford"/>
                <w:color w:val="2E3338"/>
                <w:sz w:val="20"/>
                <w:szCs w:val="20"/>
              </w:rPr>
              <w:t xml:space="preserve"> - American Society of Heating, Refrigerating and Air-Conditioning Engineers</w:t>
            </w:r>
          </w:p>
        </w:tc>
      </w:tr>
    </w:tbl>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03" w:name="_TocCP03"/>
            <w:r>
              <w:rPr>
                <w:rFonts w:ascii="Seaford" w:cs="Seaford" w:eastAsia="Seaford" w:hAnsi="Seaford"/>
                <w:b/>
                <w:bCs/>
                <w:color w:val="9FD75C"/>
                <w:spacing w:val="60"/>
                <w:sz w:val="20"/>
                <w:szCs w:val="20"/>
              </w:rPr>
              <w:t xml:space="preserve">SECTION 1.</w:t>
            </w:r>
            <w:r>
              <w:rPr>
                <w:rFonts w:ascii="Seaford" w:cs="Seaford" w:eastAsia="Seaford" w:hAnsi="Seaford"/>
                <w:b/>
                <w:bCs/>
                <w:color w:val="FFFFFF"/>
                <w:sz w:val="34"/>
                <w:szCs w:val="34"/>
              </w:rPr>
              <w:br/>
              <w:t xml:space="preserve">AUTHORITY, PURPOSE, INTENT, AND DECOMMISSIONING</w:t>
            </w:r>
            <w:bookmarkEnd w:id="903"/>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04" w:name="_TocCP04"/>
      <w:r>
        <w:rPr>
          <w:rFonts w:ascii="Seaford" w:cs="Seaford" w:eastAsia="Seaford" w:hAnsi="Seaford"/>
          <w:b/>
          <w:bCs/>
          <w:color w:val="49497F"/>
          <w:sz w:val="28"/>
          <w:szCs w:val="28"/>
        </w:rPr>
        <w:t xml:space="preserve">1.1  Statutory Authority</w:t>
      </w:r>
      <w:bookmarkEnd w:id="904"/>
    </w:p>
    <w:p>
      <w:pPr>
        <w:spacing w:after="140" w:before="0" w:line="276"/>
      </w:pPr>
      <w:r>
        <w:rPr>
          <w:rFonts w:ascii="Seaford" w:cs="Seaford" w:eastAsia="Seaford" w:hAnsi="Seaford"/>
          <w:color w:val="2E3338"/>
          <w:sz w:val="21"/>
          <w:szCs w:val="21"/>
        </w:rPr>
        <w:t xml:space="preserve">This Ordinance is adopted pursuant to the authority granted to local governments in North Carolina under N.C.G.S. Chapter 160D (Local Government Land Development Regulation), including but not limited to the authority to adopt, amend, and enforce zoning regulations and use standards as part of the local government’s Unified Development Ordinance.</w:t>
      </w:r>
    </w:p>
    <w:p>
      <w:pPr>
        <w:pStyle w:val="Heading2"/>
        <w:keepNext/>
        <w:pBdr>
          <w:left w:val="single" w:color="9FD75C" w:sz="24" w:space="8"/>
        </w:pBdr>
        <w:spacing w:after="120" w:before="280"/>
      </w:pPr>
      <w:bookmarkStart w:id="905" w:name="_TocCP05"/>
      <w:r>
        <w:rPr>
          <w:rFonts w:ascii="Seaford" w:cs="Seaford" w:eastAsia="Seaford" w:hAnsi="Seaford"/>
          <w:b/>
          <w:bCs/>
          <w:color w:val="49497F"/>
          <w:sz w:val="28"/>
          <w:szCs w:val="28"/>
        </w:rPr>
        <w:t xml:space="preserve">1.2  Purpose</w:t>
      </w:r>
      <w:bookmarkEnd w:id="905"/>
    </w:p>
    <w:p>
      <w:pPr>
        <w:spacing w:after="140" w:before="0" w:line="276"/>
      </w:pPr>
      <w:r>
        <w:rPr>
          <w:rFonts w:ascii="Seaford" w:cs="Seaford" w:eastAsia="Seaford" w:hAnsi="Seaford"/>
          <w:color w:val="2E3338"/>
          <w:sz w:val="21"/>
          <w:szCs w:val="21"/>
        </w:rPr>
        <w:t xml:space="preserve">The purpose of this Ordinance is to establish use-specific standards for data centers to ensure that these facilities are sited, designed, constructed, and operated in a manner that:</w:t>
      </w:r>
    </w:p>
    <w:p>
      <w:pPr>
        <w:pStyle w:val="ListParagraph"/>
        <w:numPr>
          <w:ilvl w:val="0"/>
          <w:numId w:val="2"/>
        </w:numPr>
        <w:spacing w:after="80" w:line="276"/>
      </w:pPr>
      <w:r>
        <w:rPr>
          <w:rFonts w:ascii="Seaford" w:cs="Seaford" w:eastAsia="Seaford" w:hAnsi="Seaford"/>
          <w:color w:val="2E3338"/>
          <w:sz w:val="21"/>
          <w:szCs w:val="21"/>
        </w:rPr>
        <w:t xml:space="preserve">Protects the health, safety, and welfare of current and future residents;</w:t>
      </w:r>
    </w:p>
    <w:p>
      <w:pPr>
        <w:pStyle w:val="ListParagraph"/>
        <w:numPr>
          <w:ilvl w:val="0"/>
          <w:numId w:val="2"/>
        </w:numPr>
        <w:spacing w:after="80" w:line="276"/>
      </w:pPr>
      <w:r>
        <w:rPr>
          <w:rFonts w:ascii="Seaford" w:cs="Seaford" w:eastAsia="Seaford" w:hAnsi="Seaford"/>
          <w:color w:val="2E3338"/>
          <w:sz w:val="21"/>
          <w:szCs w:val="21"/>
        </w:rPr>
        <w:t xml:space="preserve">Minimizes adverse impacts on surrounding land uses, natural resources, and public infrastructure;</w:t>
      </w:r>
    </w:p>
    <w:p>
      <w:pPr>
        <w:pStyle w:val="ListParagraph"/>
        <w:numPr>
          <w:ilvl w:val="0"/>
          <w:numId w:val="2"/>
        </w:numPr>
        <w:spacing w:after="80" w:line="276"/>
      </w:pPr>
      <w:r>
        <w:rPr>
          <w:rFonts w:ascii="Seaford" w:cs="Seaford" w:eastAsia="Seaford" w:hAnsi="Seaford"/>
          <w:color w:val="2E3338"/>
          <w:sz w:val="21"/>
          <w:szCs w:val="21"/>
        </w:rPr>
        <w:t xml:space="preserve">Ensures compatibility with adopted land use plans, including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comprehensive or land use plan</w:t>
      </w:r>
    </w:p>
    <w:p>
      <w:pPr>
        <w:spacing w:after="80"/>
        <w:ind w:left="720"/>
      </w:pPr>
      <w:r>
        <w:rPr>
          <w:rFonts w:ascii="Seaford" w:cs="Seaford" w:eastAsia="Seaford" w:hAnsi="Seaford"/>
          <w:i/>
          <w:iCs/>
          <w:color w:val="6B6F7B"/>
          <w:sz w:val="19"/>
          <w:szCs w:val="19"/>
          <w:shd w:fill="FCE7C5" w:color="auto" w:val="clear"/>
        </w:rPr>
        <w:t xml:space="preserve">{insert specific community plan name here}</w:t>
      </w:r>
    </w:p>
    <w:p>
      <w:pPr>
        <w:pStyle w:val="ListParagraph"/>
        <w:numPr>
          <w:ilvl w:val="0"/>
          <w:numId w:val="2"/>
        </w:numPr>
        <w:spacing w:after="80" w:line="276"/>
      </w:pPr>
      <w:r>
        <w:rPr>
          <w:rFonts w:ascii="Seaford" w:cs="Seaford" w:eastAsia="Seaford" w:hAnsi="Seaford"/>
          <w:color w:val="2E3338"/>
          <w:sz w:val="21"/>
          <w:szCs w:val="21"/>
        </w:rPr>
        <w:t xml:space="preserve">Provides clear and predictable standards for applicants and decision-makers; and</w:t>
      </w:r>
    </w:p>
    <w:p>
      <w:pPr>
        <w:pStyle w:val="ListParagraph"/>
        <w:numPr>
          <w:ilvl w:val="0"/>
          <w:numId w:val="2"/>
        </w:numPr>
        <w:spacing w:after="80" w:line="276"/>
      </w:pPr>
      <w:r>
        <w:rPr>
          <w:rFonts w:ascii="Seaford" w:cs="Seaford" w:eastAsia="Seaford" w:hAnsi="Seaford"/>
          <w:color w:val="2E3338"/>
          <w:sz w:val="21"/>
          <w:szCs w:val="21"/>
        </w:rPr>
        <w:t xml:space="preserve">Addresses the unique operational characteristics of data centers, including energy consumption, water use, noise generation, and hazardous materials storage.</w:t>
      </w:r>
    </w:p>
    <w:p>
      <w:pPr>
        <w:pStyle w:val="Heading2"/>
        <w:keepNext/>
        <w:pBdr>
          <w:left w:val="single" w:color="9FD75C" w:sz="24" w:space="8"/>
        </w:pBdr>
        <w:spacing w:after="120" w:before="280"/>
      </w:pPr>
      <w:bookmarkStart w:id="906" w:name="_TocCP06"/>
      <w:r>
        <w:rPr>
          <w:rFonts w:ascii="Seaford" w:cs="Seaford" w:eastAsia="Seaford" w:hAnsi="Seaford"/>
          <w:b/>
          <w:bCs/>
          <w:color w:val="49497F"/>
          <w:sz w:val="28"/>
          <w:szCs w:val="28"/>
        </w:rPr>
        <w:t xml:space="preserve">1.3  Intent</w:t>
      </w:r>
      <w:bookmarkEnd w:id="906"/>
    </w:p>
    <w:p>
      <w:pPr>
        <w:spacing w:after="140" w:before="0" w:line="276"/>
      </w:pPr>
      <w:r>
        <w:rPr>
          <w:rFonts w:ascii="Seaford" w:cs="Seaford" w:eastAsia="Seaford" w:hAnsi="Seaford"/>
          <w:color w:val="2E3338"/>
          <w:sz w:val="21"/>
          <w:szCs w:val="21"/>
        </w:rPr>
        <w:t xml:space="preserve">It is the intent of this Ordinance to recognize data centers as a distinct use category with operational characteristics that differ materially from traditional commercial or industrial uses. These standards are intended to be applied in conjunction with all other applicable provisions of the </w:t>
      </w:r>
      <w:r>
        <w:rPr>
          <w:rFonts w:ascii="Seaford" w:cs="Seaford" w:eastAsia="Seaford" w:hAnsi="Seaford"/>
          <w:color w:val="2E3338"/>
          <w:sz w:val="21"/>
          <w:szCs w:val="21"/>
          <w:shd w:fill="FCE7C5" w:color="auto" w:val="clear"/>
        </w:rPr>
        <w:t xml:space="preserve">[LOCAL GOVERNMENT NAME + APPLICABLE DEVELOPMENT ORDINANCE NAME(S)]</w:t>
      </w:r>
      <w:r>
        <w:rPr>
          <w:rFonts w:ascii="Seaford" w:cs="Seaford" w:eastAsia="Seaford" w:hAnsi="Seaford"/>
          <w:color w:val="2E3338"/>
          <w:sz w:val="21"/>
          <w:szCs w:val="21"/>
        </w:rPr>
        <w:t xml:space="preserve">. In the event of a conflict, the more restrictive provision shall apply unless this Ordinance expressly provides otherwise.</w:t>
      </w:r>
    </w:p>
    <w:p>
      <w:pPr>
        <w:pStyle w:val="Heading2"/>
        <w:keepNext/>
        <w:pBdr>
          <w:left w:val="single" w:color="9FD75C" w:sz="24" w:space="8"/>
        </w:pBdr>
        <w:spacing w:after="120" w:before="280"/>
      </w:pPr>
      <w:bookmarkStart w:id="907" w:name="_TocCP07"/>
      <w:r>
        <w:rPr>
          <w:rFonts w:ascii="Seaford" w:cs="Seaford" w:eastAsia="Seaford" w:hAnsi="Seaford"/>
          <w:b/>
          <w:bCs/>
          <w:color w:val="49497F"/>
          <w:sz w:val="28"/>
          <w:szCs w:val="28"/>
        </w:rPr>
        <w:t xml:space="preserve">1.4  Changes in Data Center Tier</w:t>
      </w:r>
      <w:bookmarkEnd w:id="907"/>
    </w:p>
    <w:p>
      <w:pPr>
        <w:spacing w:after="140" w:before="0" w:line="276"/>
      </w:pPr>
      <w:r>
        <w:rPr>
          <w:rFonts w:ascii="Seaford" w:cs="Seaford" w:eastAsia="Seaford" w:hAnsi="Seaford"/>
          <w:color w:val="2E3338"/>
          <w:sz w:val="21"/>
          <w:szCs w:val="21"/>
        </w:rPr>
        <w:t xml:space="preserve">An expansion or modification that would increase a data center’s Ultimate Electrical Demand above the threshold of its approved tier shall not be considered a minor modification. The proposed expansion or modification shall be reviewed under the standards and approval process applicable to the new tier.</w:t>
      </w:r>
    </w:p>
    <w:p>
      <w:pPr>
        <w:pStyle w:val="Heading2"/>
        <w:keepNext/>
        <w:pBdr>
          <w:left w:val="single" w:color="9FD75C" w:sz="24" w:space="8"/>
        </w:pBdr>
        <w:spacing w:after="120" w:before="280"/>
      </w:pPr>
      <w:bookmarkStart w:id="908" w:name="_TocCP08"/>
      <w:r>
        <w:rPr>
          <w:rFonts w:ascii="Seaford" w:cs="Seaford" w:eastAsia="Seaford" w:hAnsi="Seaford"/>
          <w:b/>
          <w:bCs/>
          <w:color w:val="49497F"/>
          <w:sz w:val="28"/>
          <w:szCs w:val="28"/>
        </w:rPr>
        <w:t xml:space="preserve">1.5  Decommissioning and Reuse</w:t>
      </w:r>
      <w:bookmarkEnd w:id="908"/>
    </w:p>
    <w:p>
      <w:pPr>
        <w:spacing w:after="140" w:before="0" w:line="276"/>
      </w:pPr>
      <w:r>
        <w:rPr>
          <w:rFonts w:ascii="Seaford" w:cs="Seaford" w:eastAsia="Seaford" w:hAnsi="Seaford"/>
          <w:color w:val="2E3338"/>
          <w:sz w:val="21"/>
          <w:szCs w:val="21"/>
        </w:rPr>
        <w:t xml:space="preserve">Some jurisdictions outside North Carolina require bonds or other financial assurance to cover decommissioning costs. North Carolina local governments should consult with their attorney before imposing a financial assurance requirement for a data center. Depending on the approval mechanism and applicable statutory authority, decommissioning commitments may instead be addressed through mutually agreed-upon conditions associated with a conditional zoning.</w:t>
      </w:r>
    </w:p>
    <w:p>
      <w:pPr>
        <w:spacing w:after="140" w:before="0" w:line="276"/>
      </w:pPr>
      <w:r>
        <w:rPr>
          <w:rFonts w:ascii="Seaford" w:cs="Seaford" w:eastAsia="Seaford" w:hAnsi="Seaford"/>
          <w:b/>
          <w:bCs/>
          <w:color w:val="2E3338"/>
          <w:sz w:val="21"/>
          <w:szCs w:val="21"/>
        </w:rPr>
        <w:t xml:space="preserve">All data center applications shall include a decommissioning and reuse plan addressing, at minimum:</w:t>
      </w:r>
    </w:p>
    <w:p>
      <w:pPr>
        <w:pStyle w:val="ListParagraph"/>
        <w:numPr>
          <w:ilvl w:val="0"/>
          <w:numId w:val="3"/>
        </w:numPr>
        <w:spacing w:after="100" w:line="276"/>
      </w:pPr>
      <w:r>
        <w:rPr>
          <w:rFonts w:ascii="Seaford" w:cs="Seaford" w:eastAsia="Seaford" w:hAnsi="Seaford"/>
          <w:color w:val="2E3338"/>
          <w:sz w:val="21"/>
          <w:szCs w:val="21"/>
        </w:rPr>
        <w:t xml:space="preserve">A proposed timeline and procedures for the removal of high-hazard infrastructure, including fuel storage systems, battery systems, cooling chemicals, and electrical equipment;</w:t>
      </w:r>
    </w:p>
    <w:p>
      <w:pPr>
        <w:pStyle w:val="ListParagraph"/>
        <w:numPr>
          <w:ilvl w:val="0"/>
          <w:numId w:val="3"/>
        </w:numPr>
        <w:spacing w:after="100" w:line="276"/>
      </w:pPr>
      <w:r>
        <w:rPr>
          <w:rFonts w:ascii="Seaford" w:cs="Seaford" w:eastAsia="Seaford" w:hAnsi="Seaford"/>
          <w:color w:val="2E3338"/>
          <w:sz w:val="21"/>
          <w:szCs w:val="21"/>
        </w:rPr>
        <w:t xml:space="preserve">Procedures for the safe removal, disposal, or reuse of equipment, materials, and hazardous substances;</w:t>
      </w:r>
    </w:p>
    <w:p>
      <w:pPr>
        <w:pStyle w:val="ListParagraph"/>
        <w:numPr>
          <w:ilvl w:val="0"/>
          <w:numId w:val="3"/>
        </w:numPr>
        <w:spacing w:after="100" w:line="276"/>
      </w:pPr>
      <w:r>
        <w:rPr>
          <w:rFonts w:ascii="Seaford" w:cs="Seaford" w:eastAsia="Seaford" w:hAnsi="Seaford"/>
          <w:color w:val="2E3338"/>
          <w:sz w:val="21"/>
          <w:szCs w:val="21"/>
        </w:rPr>
        <w:t xml:space="preserve">Proposed plans for reuse, redevelopment, or restoration of the site following cessation of data center operations; and</w:t>
      </w:r>
    </w:p>
    <w:p>
      <w:pPr>
        <w:pStyle w:val="ListParagraph"/>
        <w:numPr>
          <w:ilvl w:val="0"/>
          <w:numId w:val="3"/>
        </w:numPr>
        <w:spacing w:after="100" w:line="276"/>
      </w:pPr>
      <w:r>
        <w:rPr>
          <w:rFonts w:ascii="Seaford" w:cs="Seaford" w:eastAsia="Seaford" w:hAnsi="Seaford"/>
          <w:color w:val="2E3338"/>
          <w:sz w:val="21"/>
          <w:szCs w:val="21"/>
        </w:rPr>
        <w:t xml:space="preserve">Any additional decommissioning measures required as part of an applicable development approval.</w:t>
      </w:r>
    </w:p>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09" w:name="_TocCP09"/>
            <w:r>
              <w:rPr>
                <w:rFonts w:ascii="Seaford" w:cs="Seaford" w:eastAsia="Seaford" w:hAnsi="Seaford"/>
                <w:b/>
                <w:bCs/>
                <w:color w:val="9FD75C"/>
                <w:spacing w:val="60"/>
                <w:sz w:val="20"/>
                <w:szCs w:val="20"/>
              </w:rPr>
              <w:t xml:space="preserve">SECTION 2.</w:t>
            </w:r>
            <w:r>
              <w:rPr>
                <w:rFonts w:ascii="Seaford" w:cs="Seaford" w:eastAsia="Seaford" w:hAnsi="Seaford"/>
                <w:b/>
                <w:bCs/>
                <w:color w:val="FFFFFF"/>
                <w:sz w:val="34"/>
                <w:szCs w:val="34"/>
              </w:rPr>
              <w:br/>
              <w:t xml:space="preserve">DEFINITIONS</w:t>
            </w:r>
            <w:bookmarkEnd w:id="909"/>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spacing w:after="140" w:before="0" w:line="276"/>
      </w:pPr>
      <w:r>
        <w:rPr>
          <w:rFonts w:ascii="Seaford" w:cs="Seaford" w:eastAsia="Seaford" w:hAnsi="Seaford"/>
          <w:color w:val="2E3338"/>
          <w:sz w:val="21"/>
          <w:szCs w:val="21"/>
        </w:rPr>
        <w:t xml:space="preserve">For purposes of this Ordinance, the following terms shall have the meanings below. Terms not defined should be interpreted consistently with their common meaning or, where applicable, as defined elsewhere in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w:t>
      </w:r>
      <w:r>
        <w:rPr>
          <w:rFonts w:ascii="Seaford" w:cs="Seaford" w:eastAsia="Seaford" w:hAnsi="Seaford"/>
          <w:color w:val="2E3338"/>
          <w:sz w:val="21"/>
          <w:szCs w:val="21"/>
          <w:shd w:fill="FCE7C5" w:color="auto" w:val="clear"/>
        </w:rPr>
        <w:t xml:space="preserve">[APPLICABLE DEVELOPMENT ORDINANCE NAME]</w:t>
      </w:r>
      <w:r>
        <w:rPr>
          <w:rFonts w:ascii="Seaford" w:cs="Seaford" w:eastAsia="Seaford" w:hAnsi="Seaford"/>
          <w:color w:val="2E3338"/>
          <w:sz w:val="21"/>
          <w:szCs w:val="21"/>
        </w:rPr>
        <w:t xml:space="preserve">. In the event of a conflict between a definition in this Ordinance and a definition elsewhere in the </w:t>
      </w:r>
      <w:r>
        <w:rPr>
          <w:rFonts w:ascii="Seaford" w:cs="Seaford" w:eastAsia="Seaford" w:hAnsi="Seaford"/>
          <w:color w:val="2E3338"/>
          <w:sz w:val="21"/>
          <w:szCs w:val="21"/>
          <w:shd w:fill="FCE7C5" w:color="auto" w:val="clear"/>
        </w:rPr>
        <w:t xml:space="preserve">[APPLICABLE DEVELOPMENT ORDINANCE NAME]</w:t>
      </w:r>
      <w:r>
        <w:rPr>
          <w:rFonts w:ascii="Seaford" w:cs="Seaford" w:eastAsia="Seaford" w:hAnsi="Seaford"/>
          <w:color w:val="2E3338"/>
          <w:sz w:val="21"/>
          <w:szCs w:val="21"/>
        </w:rPr>
        <w:t xml:space="preserve">, the definition in this Ordinance shall control.</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600"/>
        <w:gridCol w:w="7048"/>
      </w:tblGrid>
      <w:tr>
        <w:trPr>
          <w:cantSplit/>
          <w:tblHeader/>
        </w:trPr>
        <w:tc>
          <w:tcPr>
            <w:tcW w:type="dxa" w:w="26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Term</w:t>
            </w:r>
          </w:p>
        </w:tc>
        <w:tc>
          <w:tcPr>
            <w:tcW w:type="dxa" w:w="704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Definition</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Battery Energy Storage System (BESS) &amp; Energy Storage System</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(BESS) A system composed of electrochemical devices that stores electrical energy and discharges it on demand. Includes lithium-ion, lead-acid, sodium-ion, solid-state, and other chemistries.</w:t>
            </w:r>
          </w:p>
          <w:p>
            <w:pPr>
              <w:spacing w:after="60" w:line="264"/>
            </w:pPr>
            <w:r>
              <w:rPr>
                <w:rFonts w:ascii="Seaford" w:cs="Seaford" w:eastAsia="Seaford" w:hAnsi="Seaford"/>
                <w:color w:val="2E3338"/>
                <w:sz w:val="19"/>
                <w:szCs w:val="19"/>
              </w:rPr>
              <w:t xml:space="preserve">(ESS) Equipment and associated infrastructure located on-site that generates, stores, converts, or manages energy for use by the data center or delivery to the electric grid. This may include, but is not limited to, battery energy storage systems, generators, solar photovoltaic systems, fuel cells, combined heat and power systems, and other distributed energy resources.</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facility used primarily for the storage, management, processing, and/or transmission of digital data, housing computer or network equipment, servers, and related components, including but not limited to facilities used for cryptocurrency mining or other blockchain-based computational operations. The facility may include air handlers, backup power generators, cooling systems and water storage, utility substations, and other associated infrastructure to support sustained operations</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 Tier 1 (Standard)</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data center including an enterprise/internal facility accessory to primary business use, or a small or regional colocation facility with an Ultimate Electrical Demand of less than 50 megawatts (MW).</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 Tier 2 (Large)</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data center including a large colocation facility or multi-building campus with an Ultimate Electrical Demand of 50 MW or greater but less than 100 MW.</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 Tier 3 (Hyperscale)</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large-scale hyperscale or AI/cloud-computing data center campus, owned and/or operated by a single entity (or its affiliates), with an Ultimate Electrical Demand of 100 megawatts (MW) or greater.</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 Electrical Substation</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facility used for transformation, transmission, and/or switching of voltages to distribution voltages, serving a data center on the same or adjacent site or across a road right-of-way.</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Data Center Campus</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One or more Data Center facilities located on contiguous or nearby properties that function as a coordinated development through shared electrical infrastructure, utilities, access, ownership, operation, or a common development plan.</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Footcandle</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unit of illuminance equal to one lumen per square foot.</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IT Load</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The total electrical power, measured in megawatts (MW), used by a data center’s information technology equipment, excluding power consumed by cooling, lighting, and other facility infrastructure. IT Load is reported in the electrical load study (Section 5.5); it is not the metric used to determine tier classification under Section 2 (see “Ultimate Electrical Demand”).</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Power Usage Effectiveness (PUE)</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ratio of total facility energy consumption to IT equipment energy consumption. A PUE of 1.0 is perfectly efficient, with 1.5 being industry average.</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Sensitive Receptor</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Schools, preschools, daycare centers, in-home daycares, health facilities (hospitals, long-term care facilities, emergency services facilities, assisted living facilities, retirement and nursing homes), community centers, places of worship, playgrounds, libraries, parks, campgrounds, prisons, dormitories, and any residential structure.</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Thermal Runaway</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An uncontrolled, self-sustaining exothermic reaction within a battery cell that can propagate through adjacent cells, generating heat, fire, or explosion risk.</w:t>
            </w:r>
          </w:p>
        </w:tc>
      </w:tr>
      <w:tr>
        <w:trPr>
          <w:cantSplit/>
        </w:trPr>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Ultimate Electrical Demand</w:t>
            </w:r>
          </w:p>
        </w:tc>
        <w:tc>
          <w:tcPr>
            <w:tcW w:type="dxa" w:w="70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The maximum total electrical demand, in megawatts (MW), that a data center facility is designed to serve at full build-out, including information technology equipment, cooling, and all other facility infrastructure loads. Ultimate Electrical Demand shall be documented in the electrical load study required under Section 5.5 and is the metric used to determine tier classification under this Section 2 (Tier 1, Tier 2, and Tier 3).</w:t>
            </w:r>
          </w:p>
        </w:tc>
      </w:tr>
      <w:tr>
        <w:trPr>
          <w:cantSplit/>
        </w:trPr>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Water Usage Effectiveness (WUE)</w:t>
            </w:r>
          </w:p>
        </w:tc>
        <w:tc>
          <w:tcPr>
            <w:tcW w:type="dxa" w:w="70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A metric calculated as the total water consumed by a data center (in liters) divided by the IT equipment energy consumed (in kilowatt-hours). Lower values reflect greater efficiency.</w:t>
            </w:r>
          </w:p>
        </w:tc>
      </w:tr>
    </w:tbl>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10" w:name="_TocCP10"/>
            <w:r>
              <w:rPr>
                <w:rFonts w:ascii="Seaford" w:cs="Seaford" w:eastAsia="Seaford" w:hAnsi="Seaford"/>
                <w:b/>
                <w:bCs/>
                <w:color w:val="9FD75C"/>
                <w:spacing w:val="60"/>
                <w:sz w:val="20"/>
                <w:szCs w:val="20"/>
              </w:rPr>
              <w:t xml:space="preserve">SECTION 3.</w:t>
            </w:r>
            <w:r>
              <w:rPr>
                <w:rFonts w:ascii="Seaford" w:cs="Seaford" w:eastAsia="Seaford" w:hAnsi="Seaford"/>
                <w:b/>
                <w:bCs/>
                <w:color w:val="FFFFFF"/>
                <w:sz w:val="34"/>
                <w:szCs w:val="34"/>
              </w:rPr>
              <w:br/>
              <w:t xml:space="preserve">APPLICABILITY AND USE CLASSIFICATION</w:t>
            </w:r>
            <w:bookmarkEnd w:id="910"/>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11" w:name="_TocCP11"/>
      <w:r>
        <w:rPr>
          <w:rFonts w:ascii="Seaford" w:cs="Seaford" w:eastAsia="Seaford" w:hAnsi="Seaford"/>
          <w:b/>
          <w:bCs/>
          <w:color w:val="49497F"/>
          <w:sz w:val="28"/>
          <w:szCs w:val="28"/>
        </w:rPr>
        <w:t xml:space="preserve">3.1  Applicability</w:t>
      </w:r>
      <w:bookmarkEnd w:id="911"/>
    </w:p>
    <w:p>
      <w:pPr>
        <w:spacing w:after="140" w:before="0" w:line="276"/>
      </w:pPr>
      <w:r>
        <w:rPr>
          <w:rFonts w:ascii="Seaford" w:cs="Seaford" w:eastAsia="Seaford" w:hAnsi="Seaford"/>
          <w:color w:val="2E3338"/>
          <w:sz w:val="21"/>
          <w:szCs w:val="21"/>
        </w:rPr>
        <w:t xml:space="preserve">The provisions of this Ordinance shall apply to all data centers proposed within the jurisdictional limits of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including those located within areas subject to extraterritorial jurisdiction (ETJ) as authorized under N.C.G.S. § 160D-202.</w:t>
      </w:r>
    </w:p>
    <w:p>
      <w:pPr>
        <w:pStyle w:val="Heading2"/>
        <w:keepNext/>
        <w:pBdr>
          <w:left w:val="single" w:color="9FD75C" w:sz="24" w:space="8"/>
        </w:pBdr>
        <w:spacing w:after="120" w:before="280"/>
      </w:pPr>
      <w:bookmarkStart w:id="912" w:name="_TocCP12"/>
      <w:r>
        <w:rPr>
          <w:rFonts w:ascii="Seaford" w:cs="Seaford" w:eastAsia="Seaford" w:hAnsi="Seaford"/>
          <w:b/>
          <w:bCs/>
          <w:color w:val="49497F"/>
          <w:sz w:val="28"/>
          <w:szCs w:val="28"/>
        </w:rPr>
        <w:t xml:space="preserve">3.2  Use Classifications and Permitted Zoning Districts</w:t>
      </w:r>
      <w:bookmarkEnd w:id="912"/>
    </w:p>
    <w:p>
      <w:pPr>
        <w:spacing w:after="140" w:before="0" w:line="276"/>
      </w:pPr>
      <w:r>
        <w:rPr>
          <w:rFonts w:ascii="Seaford" w:cs="Seaford" w:eastAsia="Seaford" w:hAnsi="Seaford"/>
          <w:color w:val="2E3338"/>
          <w:sz w:val="21"/>
          <w:szCs w:val="21"/>
        </w:rPr>
        <w:t xml:space="preserve">The zoning districts and approval processes below are examples, not requirements. Each community should adapt this section to its own zoning districts, development review processes, and the Tier 1, Tier 2, and Tier 3 definitions in Section 2. All data centers remain subject to the applicable supplemental use standards in Section 5.</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keepNext/>
              <w:spacing w:after="80"/>
            </w:pPr>
            <w:r>
              <w:rPr>
                <w:rFonts w:ascii="Seaford" w:cs="Seaford" w:eastAsia="Seaford" w:hAnsi="Seaford"/>
                <w:b/>
                <w:bCs/>
                <w:color w:val="49497F"/>
                <w:sz w:val="21"/>
                <w:szCs w:val="21"/>
              </w:rPr>
              <w:t xml:space="preserve">Position of this Model Ordinance</w:t>
            </w:r>
          </w:p>
          <w:p>
            <w:pPr>
              <w:spacing w:after="160" w:before="0" w:line="276"/>
            </w:pPr>
            <w:r>
              <w:rPr>
                <w:rFonts w:ascii="Seaford" w:cs="Seaford" w:eastAsia="Seaford" w:hAnsi="Seaford"/>
                <w:b/>
                <w:bCs/>
                <w:color w:val="2E3338"/>
                <w:sz w:val="19"/>
                <w:szCs w:val="19"/>
              </w:rPr>
              <w:t xml:space="preserve">By-right approval is not recommended.</w:t>
            </w:r>
            <w:r>
              <w:rPr>
                <w:rFonts w:ascii="Seaford" w:cs="Seaford" w:eastAsia="Seaford" w:hAnsi="Seaford"/>
                <w:color w:val="2E3338"/>
                <w:sz w:val="19"/>
                <w:szCs w:val="19"/>
              </w:rPr>
              <w:t xml:space="preserve"> Central Pines Regional Council recommends that data centers not be permitted by right in any tier. Data centers vary widely in size, power demand, water use, noise, and backup generation. By-right approval provides no public hearing and no discretion to address site-specific impacts.</w:t>
            </w:r>
          </w:p>
          <w:p>
            <w:pPr>
              <w:spacing w:after="100" w:before="0" w:line="276"/>
            </w:pPr>
            <w:r>
              <w:rPr>
                <w:rFonts w:ascii="Seaford" w:cs="Seaford" w:eastAsia="Seaford" w:hAnsi="Seaford"/>
                <w:b/>
                <w:bCs/>
                <w:color w:val="2E3338"/>
                <w:sz w:val="19"/>
                <w:szCs w:val="19"/>
              </w:rPr>
              <w:t xml:space="preserve">No legal recommendation is made between conditional zoning and a special use permit.</w:t>
            </w:r>
            <w:r>
              <w:rPr>
                <w:rFonts w:ascii="Seaford" w:cs="Seaford" w:eastAsia="Seaford" w:hAnsi="Seaford"/>
                <w:color w:val="2E3338"/>
                <w:sz w:val="19"/>
                <w:szCs w:val="19"/>
              </w:rPr>
              <w:t xml:space="preserve"> Central Pines Regional Council does not make a legal recommendation between conditional zoning (a legislative decision under N.C.G.S. § 160D-703) and a special use permit (a quasi-judicial decision under N.C.G.S. § 160D-705). Each process carries different legal requirements, levels of public participation, and litigation risks. The appropriate choice depends on the community's existing development ordinance, its adopted plans, staff and board capacity, and the advice of its local government attorney. The comparison and scenarios below are provided to support that local decision.</w:t>
            </w:r>
          </w:p>
        </w:tc>
      </w:tr>
    </w:tbl>
    <w:p>
      <w:pPr>
        <w:spacing w:after="240" w:before="0"/>
      </w:pPr>
    </w:p>
    <w:p>
      <w:pPr>
        <w:keepNext/>
        <w:spacing w:after="100" w:before="200"/>
      </w:pPr>
      <w:r>
        <w:rPr>
          <w:rFonts w:ascii="Seaford" w:cs="Seaford" w:eastAsia="Seaford" w:hAnsi="Seaford"/>
          <w:b/>
          <w:bCs/>
          <w:color w:val="49497F"/>
          <w:sz w:val="23"/>
          <w:szCs w:val="23"/>
        </w:rPr>
        <w:t xml:space="preserve">Use Scenarios and Risks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49497F" w:sz="36"/>
              <w:bottom w:val="none" w:color="FFFFFF" w:sz="0"/>
              <w:right w:val="none" w:color="FFFFFF" w:sz="0"/>
            </w:tcBorders>
            <w:shd w:fill="FFFFFF" w:color="auto" w:val="clear"/>
            <w:tcMar>
              <w:top w:type="dxa" w:w="160"/>
              <w:left w:type="dxa" w:w="240"/>
              <w:bottom w:type="dxa" w:w="120"/>
              <w:right w:type="dxa" w:w="240"/>
            </w:tcMar>
          </w:tcPr>
          <w:p>
            <w:pPr>
              <w:keepNext/>
              <w:spacing w:after="80"/>
            </w:pPr>
            <w:r>
              <w:rPr>
                <w:rFonts w:ascii="Seaford" w:cs="Seaford" w:eastAsia="Seaford" w:hAnsi="Seaford"/>
                <w:b/>
                <w:bCs/>
                <w:color w:val="49497F"/>
                <w:sz w:val="21"/>
                <w:szCs w:val="21"/>
              </w:rPr>
              <w:t xml:space="preserve">Scenario A: By-Right Approval (Not Recommended)</w:t>
            </w:r>
          </w:p>
          <w:p>
            <w:pPr>
              <w:spacing w:after="100" w:before="0" w:line="276"/>
            </w:pPr>
            <w:r>
              <w:rPr>
                <w:rFonts w:ascii="Seaford" w:cs="Seaford" w:eastAsia="Seaford" w:hAnsi="Seaford"/>
                <w:b/>
                <w:bCs/>
                <w:color w:val="2E3338"/>
                <w:sz w:val="19"/>
                <w:szCs w:val="19"/>
              </w:rPr>
              <w:t xml:space="preserve">Example:</w:t>
            </w:r>
            <w:r>
              <w:rPr>
                <w:rFonts w:ascii="Seaford" w:cs="Seaford" w:eastAsia="Seaford" w:hAnsi="Seaford"/>
                <w:color w:val="2E3338"/>
                <w:sz w:val="19"/>
                <w:szCs w:val="19"/>
              </w:rPr>
              <w:t xml:space="preserve"> A Tier 2 data center is proposed on an I-2 parcel next to a neighborhood. Staff confirm that the site plan meets setbacks, buffers, and noise modeling requirements, and must approve it.</w:t>
            </w:r>
          </w:p>
          <w:p>
            <w:pPr>
              <w:keepNext/>
              <w:spacing w:after="40" w:before="60"/>
            </w:pPr>
            <w:r>
              <w:rPr>
                <w:rFonts w:ascii="Seaford" w:cs="Seaford" w:eastAsia="Seaford" w:hAnsi="Seaford"/>
                <w:b/>
                <w:bCs/>
                <w:color w:val="49497F"/>
                <w:sz w:val="19"/>
                <w:szCs w:val="19"/>
              </w:rPr>
              <w:t xml:space="preserve">Risks to the public:</w:t>
            </w:r>
          </w:p>
          <w:p>
            <w:pPr>
              <w:pStyle w:val="ListParagraph"/>
              <w:numPr>
                <w:ilvl w:val="0"/>
                <w:numId w:val="2"/>
              </w:numPr>
              <w:spacing w:after="60"/>
            </w:pPr>
            <w:r>
              <w:rPr>
                <w:rFonts w:ascii="Seaford" w:cs="Seaford" w:eastAsia="Seaford" w:hAnsi="Seaford"/>
                <w:color w:val="2E3338"/>
                <w:sz w:val="19"/>
                <w:szCs w:val="19"/>
              </w:rPr>
              <w:t xml:space="preserve">Residents have no hearing and may not learn of the project until construction begins.</w:t>
            </w:r>
          </w:p>
          <w:p>
            <w:pPr>
              <w:pStyle w:val="ListParagraph"/>
              <w:numPr>
                <w:ilvl w:val="0"/>
                <w:numId w:val="2"/>
              </w:numPr>
              <w:spacing w:after="60"/>
            </w:pPr>
            <w:r>
              <w:rPr>
                <w:rFonts w:ascii="Seaford" w:cs="Seaford" w:eastAsia="Seaford" w:hAnsi="Seaford"/>
                <w:color w:val="2E3338"/>
                <w:sz w:val="19"/>
                <w:szCs w:val="19"/>
              </w:rPr>
              <w:t xml:space="preserve">Impacts the ordinance did not anticipate cannot be addressed, such as cumulative generator noise, water demand during drought, or later expansion into a higher tier.</w:t>
            </w:r>
          </w:p>
          <w:p>
            <w:pPr>
              <w:keepNext/>
              <w:spacing w:after="40" w:before="60"/>
            </w:pPr>
            <w:r>
              <w:rPr>
                <w:rFonts w:ascii="Seaford" w:cs="Seaford" w:eastAsia="Seaford" w:hAnsi="Seaford"/>
                <w:b/>
                <w:bCs/>
                <w:color w:val="49497F"/>
                <w:sz w:val="19"/>
                <w:szCs w:val="19"/>
              </w:rPr>
              <w:t xml:space="preserve">Risks to the local government:</w:t>
            </w:r>
          </w:p>
          <w:p>
            <w:pPr>
              <w:pStyle w:val="ListParagraph"/>
              <w:numPr>
                <w:ilvl w:val="0"/>
                <w:numId w:val="2"/>
              </w:numPr>
              <w:spacing w:after="60"/>
            </w:pPr>
            <w:r>
              <w:rPr>
                <w:rFonts w:ascii="Seaford" w:cs="Seaford" w:eastAsia="Seaford" w:hAnsi="Seaford"/>
                <w:color w:val="2E3338"/>
                <w:sz w:val="19"/>
                <w:szCs w:val="19"/>
              </w:rPr>
              <w:t xml:space="preserve">The local government has no discretion to deny or negotiate.</w:t>
            </w:r>
          </w:p>
          <w:p>
            <w:pPr>
              <w:pStyle w:val="ListParagraph"/>
              <w:numPr>
                <w:ilvl w:val="0"/>
                <w:numId w:val="2"/>
              </w:numPr>
              <w:spacing w:after="60"/>
            </w:pPr>
            <w:r>
              <w:rPr>
                <w:rFonts w:ascii="Seaford" w:cs="Seaford" w:eastAsia="Seaford" w:hAnsi="Seaford"/>
                <w:color w:val="2E3338"/>
                <w:sz w:val="19"/>
                <w:szCs w:val="19"/>
              </w:rPr>
              <w:t xml:space="preserve">Once approved, the project may obtain vested rights. Tightening standards afterward may raise down-zoning concerns under N.C.G.S. § 160D-601(d), as amended by S.L. 2024-57.</w:t>
            </w:r>
          </w:p>
        </w:tc>
      </w:tr>
    </w:tbl>
    <w:p>
      <w:pPr>
        <w:spacing w:after="20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9FD75C" w:sz="36"/>
              <w:bottom w:val="none" w:color="FFFFFF" w:sz="0"/>
              <w:right w:val="none" w:color="FFFFFF" w:sz="0"/>
            </w:tcBorders>
            <w:shd w:fill="FFFFFF" w:color="auto" w:val="clear"/>
            <w:tcMar>
              <w:top w:type="dxa" w:w="160"/>
              <w:left w:type="dxa" w:w="240"/>
              <w:bottom w:type="dxa" w:w="120"/>
              <w:right w:type="dxa" w:w="240"/>
            </w:tcMar>
          </w:tcPr>
          <w:p>
            <w:pPr>
              <w:keepNext/>
              <w:spacing w:after="80"/>
            </w:pPr>
            <w:r>
              <w:rPr>
                <w:rFonts w:ascii="Seaford" w:cs="Seaford" w:eastAsia="Seaford" w:hAnsi="Seaford"/>
                <w:b/>
                <w:bCs/>
                <w:color w:val="49497F"/>
                <w:sz w:val="21"/>
                <w:szCs w:val="21"/>
              </w:rPr>
              <w:t xml:space="preserve">Scenario B: Conditional Zoning</w:t>
            </w:r>
          </w:p>
          <w:p>
            <w:pPr>
              <w:spacing w:after="100" w:before="0" w:line="276"/>
            </w:pPr>
            <w:r>
              <w:rPr>
                <w:rFonts w:ascii="Seaford" w:cs="Seaford" w:eastAsia="Seaford" w:hAnsi="Seaford"/>
                <w:b/>
                <w:bCs/>
                <w:color w:val="2E3338"/>
                <w:sz w:val="19"/>
                <w:szCs w:val="19"/>
              </w:rPr>
              <w:t xml:space="preserve">Example:</w:t>
            </w:r>
            <w:r>
              <w:rPr>
                <w:rFonts w:ascii="Seaford" w:cs="Seaford" w:eastAsia="Seaford" w:hAnsi="Seaford"/>
                <w:color w:val="2E3338"/>
                <w:sz w:val="19"/>
                <w:szCs w:val="19"/>
              </w:rPr>
              <w:t xml:space="preserve"> A Tier 3 hyperscale campus requests rezoning to I-2-CZ. Through negotiation, the applicant agrees to conditions on phasing, decommissioning commitments, reclaimed water for cooling, and continuous noise monitoring.</w:t>
            </w:r>
          </w:p>
          <w:p>
            <w:pPr>
              <w:spacing w:after="100" w:before="0" w:line="276"/>
            </w:pPr>
            <w:r>
              <w:rPr>
                <w:rFonts w:ascii="Seaford" w:cs="Seaford" w:eastAsia="Seaford" w:hAnsi="Seaford"/>
                <w:b/>
                <w:bCs/>
                <w:color w:val="2E3338"/>
                <w:sz w:val="19"/>
                <w:szCs w:val="19"/>
              </w:rPr>
              <w:t xml:space="preserve">Best suited for:</w:t>
            </w:r>
            <w:r>
              <w:rPr>
                <w:rFonts w:ascii="Seaford" w:cs="Seaford" w:eastAsia="Seaford" w:hAnsi="Seaford"/>
                <w:color w:val="2E3338"/>
                <w:sz w:val="19"/>
                <w:szCs w:val="19"/>
              </w:rPr>
              <w:t xml:space="preserve"> communities that want broad public input, flexibility to tailor conditions to a specific site, and the ability to deny a request on policy grounds.</w:t>
            </w:r>
          </w:p>
          <w:p>
            <w:pPr>
              <w:keepNext/>
              <w:spacing w:after="40" w:before="60"/>
            </w:pPr>
            <w:r>
              <w:rPr>
                <w:rFonts w:ascii="Seaford" w:cs="Seaford" w:eastAsia="Seaford" w:hAnsi="Seaford"/>
                <w:b/>
                <w:bCs/>
                <w:color w:val="49497F"/>
                <w:sz w:val="19"/>
                <w:szCs w:val="19"/>
              </w:rPr>
              <w:t xml:space="preserve">Risks to the public:</w:t>
            </w:r>
          </w:p>
          <w:p>
            <w:pPr>
              <w:pStyle w:val="ListParagraph"/>
              <w:numPr>
                <w:ilvl w:val="0"/>
                <w:numId w:val="2"/>
              </w:numPr>
              <w:spacing w:after="60"/>
            </w:pPr>
            <w:r>
              <w:rPr>
                <w:rFonts w:ascii="Seaford" w:cs="Seaford" w:eastAsia="Seaford" w:hAnsi="Seaford"/>
                <w:color w:val="2E3338"/>
                <w:sz w:val="19"/>
                <w:szCs w:val="19"/>
              </w:rPr>
              <w:t xml:space="preserve">Every condition must be voluntarily agreed to by the applicant. The board cannot impose protections the applicant refuses.</w:t>
            </w:r>
          </w:p>
          <w:p>
            <w:pPr>
              <w:pStyle w:val="ListParagraph"/>
              <w:numPr>
                <w:ilvl w:val="0"/>
                <w:numId w:val="2"/>
              </w:numPr>
              <w:spacing w:after="60"/>
            </w:pPr>
            <w:r>
              <w:rPr>
                <w:rFonts w:ascii="Seaford" w:cs="Seaford" w:eastAsia="Seaford" w:hAnsi="Seaford"/>
                <w:color w:val="2E3338"/>
                <w:sz w:val="19"/>
                <w:szCs w:val="19"/>
              </w:rPr>
              <w:t xml:space="preserve">Outcomes depend on negotiation and may vary from project to project.</w:t>
            </w:r>
          </w:p>
          <w:p>
            <w:pPr>
              <w:keepNext/>
              <w:spacing w:after="40" w:before="60"/>
            </w:pPr>
            <w:r>
              <w:rPr>
                <w:rFonts w:ascii="Seaford" w:cs="Seaford" w:eastAsia="Seaford" w:hAnsi="Seaford"/>
                <w:b/>
                <w:bCs/>
                <w:color w:val="49497F"/>
                <w:sz w:val="19"/>
                <w:szCs w:val="19"/>
              </w:rPr>
              <w:t xml:space="preserve">Risks to the local government:</w:t>
            </w:r>
          </w:p>
          <w:p>
            <w:pPr>
              <w:pStyle w:val="ListParagraph"/>
              <w:numPr>
                <w:ilvl w:val="0"/>
                <w:numId w:val="2"/>
              </w:numPr>
              <w:spacing w:after="60"/>
            </w:pPr>
            <w:r>
              <w:rPr>
                <w:rFonts w:ascii="Seaford" w:cs="Seaford" w:eastAsia="Seaford" w:hAnsi="Seaford"/>
                <w:color w:val="2E3338"/>
                <w:sz w:val="19"/>
                <w:szCs w:val="19"/>
              </w:rPr>
              <w:t xml:space="preserve">A rezoning that is inconsistent with adopted plans, or that benefits one parcel without a reasonable basis, may be challenged as illegal spot zoning or contract zoning.</w:t>
            </w:r>
          </w:p>
          <w:p>
            <w:pPr>
              <w:pStyle w:val="ListParagraph"/>
              <w:numPr>
                <w:ilvl w:val="0"/>
                <w:numId w:val="2"/>
              </w:numPr>
              <w:spacing w:after="60"/>
            </w:pPr>
            <w:r>
              <w:rPr>
                <w:rFonts w:ascii="Seaford" w:cs="Seaford" w:eastAsia="Seaford" w:hAnsi="Seaford"/>
                <w:color w:val="2E3338"/>
                <w:sz w:val="19"/>
                <w:szCs w:val="19"/>
              </w:rPr>
              <w:t xml:space="preserve">Conditions must relate to the impacts of the development and to the local government's statutory authority.</w:t>
            </w:r>
          </w:p>
          <w:p>
            <w:pPr>
              <w:pStyle w:val="ListParagraph"/>
              <w:numPr>
                <w:ilvl w:val="0"/>
                <w:numId w:val="2"/>
              </w:numPr>
              <w:spacing w:after="60"/>
            </w:pPr>
            <w:r>
              <w:rPr>
                <w:rFonts w:ascii="Seaford" w:cs="Seaford" w:eastAsia="Seaford" w:hAnsi="Seaford"/>
                <w:color w:val="2E3338"/>
                <w:sz w:val="19"/>
                <w:szCs w:val="19"/>
              </w:rPr>
              <w:t xml:space="preserve">The decision may become politically contested.</w:t>
            </w:r>
          </w:p>
        </w:tc>
      </w:tr>
    </w:tbl>
    <w:p>
      <w:pPr>
        <w:spacing w:after="20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FFFFFF" w:color="auto" w:val="clear"/>
            <w:tcMar>
              <w:top w:type="dxa" w:w="160"/>
              <w:left w:type="dxa" w:w="240"/>
              <w:bottom w:type="dxa" w:w="120"/>
              <w:right w:type="dxa" w:w="240"/>
            </w:tcMar>
          </w:tcPr>
          <w:p>
            <w:pPr>
              <w:keepNext/>
              <w:spacing w:after="80"/>
            </w:pPr>
            <w:r>
              <w:rPr>
                <w:rFonts w:ascii="Seaford" w:cs="Seaford" w:eastAsia="Seaford" w:hAnsi="Seaford"/>
                <w:b/>
                <w:bCs/>
                <w:color w:val="49497F"/>
                <w:sz w:val="21"/>
                <w:szCs w:val="21"/>
              </w:rPr>
              <w:t xml:space="preserve">Scenario C: Special Use Permit</w:t>
            </w:r>
          </w:p>
          <w:p>
            <w:pPr>
              <w:spacing w:after="100" w:before="0" w:line="276"/>
            </w:pPr>
            <w:r>
              <w:rPr>
                <w:rFonts w:ascii="Seaford" w:cs="Seaford" w:eastAsia="Seaford" w:hAnsi="Seaford"/>
                <w:b/>
                <w:bCs/>
                <w:color w:val="2E3338"/>
                <w:sz w:val="19"/>
                <w:szCs w:val="19"/>
              </w:rPr>
              <w:t xml:space="preserve">Example:</w:t>
            </w:r>
            <w:r>
              <w:rPr>
                <w:rFonts w:ascii="Seaford" w:cs="Seaford" w:eastAsia="Seaford" w:hAnsi="Seaford"/>
                <w:color w:val="2E3338"/>
                <w:sz w:val="19"/>
                <w:szCs w:val="19"/>
              </w:rPr>
              <w:t xml:space="preserve"> Tier 1 and Tier 2 data centers are allowed in the I-1 and I-2 districts with a special use permit. The board holds an evidentiary hearing, and the applicant presents expert noise, traffic, and utility studies showing that the ordinance standards are met.</w:t>
            </w:r>
          </w:p>
          <w:p>
            <w:pPr>
              <w:spacing w:after="100" w:before="0" w:line="276"/>
            </w:pPr>
            <w:r>
              <w:rPr>
                <w:rFonts w:ascii="Seaford" w:cs="Seaford" w:eastAsia="Seaford" w:hAnsi="Seaford"/>
                <w:b/>
                <w:bCs/>
                <w:color w:val="2E3338"/>
                <w:sz w:val="19"/>
                <w:szCs w:val="19"/>
              </w:rPr>
              <w:t xml:space="preserve">Best suited for:</w:t>
            </w:r>
            <w:r>
              <w:rPr>
                <w:rFonts w:ascii="Seaford" w:cs="Seaford" w:eastAsia="Seaford" w:hAnsi="Seaford"/>
                <w:color w:val="2E3338"/>
                <w:sz w:val="19"/>
                <w:szCs w:val="19"/>
              </w:rPr>
              <w:t xml:space="preserve"> communities that prefer clear, objective standards applied consistently to every applicant, and that already use special use permits for comparable heavy industrial uses.</w:t>
            </w:r>
          </w:p>
          <w:p>
            <w:pPr>
              <w:keepNext/>
              <w:spacing w:after="40" w:before="60"/>
            </w:pPr>
            <w:r>
              <w:rPr>
                <w:rFonts w:ascii="Seaford" w:cs="Seaford" w:eastAsia="Seaford" w:hAnsi="Seaford"/>
                <w:b/>
                <w:bCs/>
                <w:color w:val="49497F"/>
                <w:sz w:val="19"/>
                <w:szCs w:val="19"/>
              </w:rPr>
              <w:t xml:space="preserve">Risks to the public:</w:t>
            </w:r>
          </w:p>
          <w:p>
            <w:pPr>
              <w:pStyle w:val="ListParagraph"/>
              <w:numPr>
                <w:ilvl w:val="0"/>
                <w:numId w:val="2"/>
              </w:numPr>
              <w:spacing w:after="60"/>
            </w:pPr>
            <w:r>
              <w:rPr>
                <w:rFonts w:ascii="Seaford" w:cs="Seaford" w:eastAsia="Seaford" w:hAnsi="Seaford"/>
                <w:color w:val="2E3338"/>
                <w:sz w:val="19"/>
                <w:szCs w:val="19"/>
              </w:rPr>
              <w:t xml:space="preserve">Residents' general concerns and opposition cannot, by themselves, justify denial. Lay opinion on matters such as property values or traffic generally is not competent evidence.</w:t>
            </w:r>
          </w:p>
          <w:p>
            <w:pPr>
              <w:pStyle w:val="ListParagraph"/>
              <w:numPr>
                <w:ilvl w:val="0"/>
                <w:numId w:val="2"/>
              </w:numPr>
              <w:spacing w:after="60"/>
            </w:pPr>
            <w:r>
              <w:rPr>
                <w:rFonts w:ascii="Seaford" w:cs="Seaford" w:eastAsia="Seaford" w:hAnsi="Seaford"/>
                <w:color w:val="2E3338"/>
                <w:sz w:val="19"/>
                <w:szCs w:val="19"/>
              </w:rPr>
              <w:t xml:space="preserve">Participation is more formal, and opponents may need their own experts to be effective.</w:t>
            </w:r>
          </w:p>
          <w:p>
            <w:pPr>
              <w:keepNext/>
              <w:spacing w:after="40" w:before="60"/>
            </w:pPr>
            <w:r>
              <w:rPr>
                <w:rFonts w:ascii="Seaford" w:cs="Seaford" w:eastAsia="Seaford" w:hAnsi="Seaford"/>
                <w:b/>
                <w:bCs/>
                <w:color w:val="49497F"/>
                <w:sz w:val="19"/>
                <w:szCs w:val="19"/>
              </w:rPr>
              <w:t xml:space="preserve">Risks to the local government:</w:t>
            </w:r>
          </w:p>
          <w:p>
            <w:pPr>
              <w:pStyle w:val="ListParagraph"/>
              <w:numPr>
                <w:ilvl w:val="0"/>
                <w:numId w:val="2"/>
              </w:numPr>
              <w:spacing w:after="60"/>
            </w:pPr>
            <w:r>
              <w:rPr>
                <w:rFonts w:ascii="Seaford" w:cs="Seaford" w:eastAsia="Seaford" w:hAnsi="Seaford"/>
                <w:color w:val="2E3338"/>
                <w:sz w:val="19"/>
                <w:szCs w:val="19"/>
              </w:rPr>
              <w:t xml:space="preserve">If the applicant presents competent evidence that the standards are met, a denial without contrary competent evidence is likely to be overturned on appeal.</w:t>
            </w:r>
          </w:p>
          <w:p>
            <w:pPr>
              <w:pStyle w:val="ListParagraph"/>
              <w:numPr>
                <w:ilvl w:val="0"/>
                <w:numId w:val="2"/>
              </w:numPr>
              <w:spacing w:after="60"/>
            </w:pPr>
            <w:r>
              <w:rPr>
                <w:rFonts w:ascii="Seaford" w:cs="Seaford" w:eastAsia="Seaford" w:hAnsi="Seaford"/>
                <w:color w:val="2E3338"/>
                <w:sz w:val="19"/>
                <w:szCs w:val="19"/>
              </w:rPr>
              <w:t xml:space="preserve">Quasi-judicial procedures are strict: sworn testimony, no ex parte communication, conflict-of-interest rules for board members, and written findings of fact. Procedural errors are a common basis for reversal.</w:t>
            </w:r>
          </w:p>
          <w:p>
            <w:pPr>
              <w:pStyle w:val="ListParagraph"/>
              <w:numPr>
                <w:ilvl w:val="0"/>
                <w:numId w:val="2"/>
              </w:numPr>
              <w:spacing w:after="60"/>
            </w:pPr>
            <w:r>
              <w:rPr>
                <w:rFonts w:ascii="Seaford" w:cs="Seaford" w:eastAsia="Seaford" w:hAnsi="Seaford"/>
                <w:color w:val="2E3338"/>
                <w:sz w:val="19"/>
                <w:szCs w:val="19"/>
              </w:rPr>
              <w:t xml:space="preserve">Vague or subjective standards are difficult to defend.</w:t>
            </w:r>
          </w:p>
        </w:tc>
      </w:tr>
    </w:tbl>
    <w:p>
      <w:pPr>
        <w:spacing w:after="200" w:before="0"/>
      </w:pPr>
    </w:p>
    <w:p>
      <w:pPr>
        <w:keepNext/>
        <w:spacing w:after="100" w:before="200"/>
      </w:pPr>
      <w:r>
        <w:rPr>
          <w:rFonts w:ascii="Seaford" w:cs="Seaford" w:eastAsia="Seaford" w:hAnsi="Seaford"/>
          <w:b/>
          <w:bCs/>
          <w:color w:val="49497F"/>
          <w:sz w:val="23"/>
          <w:szCs w:val="23"/>
        </w:rPr>
        <w:t xml:space="preserve">Comparison of Approval Pathways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500"/>
        <w:gridCol w:w="2520"/>
        <w:gridCol w:w="2760"/>
        <w:gridCol w:w="2868"/>
      </w:tblGrid>
      <w:tr>
        <w:trPr>
          <w:cantSplit/>
          <w:tblHeader/>
        </w:trPr>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p>
        </w:tc>
        <w:tc>
          <w:tcPr>
            <w:tcW w:type="dxa" w:w="252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8"/>
                <w:szCs w:val="18"/>
              </w:rPr>
              <w:t xml:space="preserve">By-Right (Not Recommended)</w:t>
            </w:r>
          </w:p>
        </w:tc>
        <w:tc>
          <w:tcPr>
            <w:tcW w:type="dxa" w:w="276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8"/>
                <w:szCs w:val="18"/>
              </w:rPr>
              <w:t xml:space="preserve">Conditional Zoning (CZ)</w:t>
            </w:r>
          </w:p>
        </w:tc>
        <w:tc>
          <w:tcPr>
            <w:tcW w:type="dxa" w:w="286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8"/>
                <w:szCs w:val="18"/>
              </w:rPr>
              <w:t xml:space="preserve">Special Use Permit (SUP)</w:t>
            </w:r>
          </w:p>
        </w:tc>
      </w:tr>
      <w:tr>
        <w:trPr>
          <w:cantSplit/>
        </w:trPr>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Type of decision</w:t>
            </w:r>
          </w:p>
        </w:tc>
        <w:tc>
          <w:tcPr>
            <w:tcW w:type="dxa" w:w="252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Administrative</w:t>
            </w:r>
          </w:p>
        </w:tc>
        <w:tc>
          <w:tcPr>
            <w:tcW w:type="dxa" w:w="276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Legislative</w:t>
            </w:r>
          </w:p>
        </w:tc>
        <w:tc>
          <w:tcPr>
            <w:tcW w:type="dxa" w:w="286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Quasi-judicial</w:t>
            </w:r>
          </w:p>
        </w:tc>
      </w:tr>
      <w:tr>
        <w:trPr>
          <w:cantSplit/>
        </w:trPr>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Who decides</w:t>
            </w:r>
          </w:p>
        </w:tc>
        <w:tc>
          <w:tcPr>
            <w:tcW w:type="dxa" w:w="252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Staff</w:t>
            </w:r>
          </w:p>
        </w:tc>
        <w:tc>
          <w:tcPr>
            <w:tcW w:type="dxa" w:w="276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Governing board, after Planning Board recommendation</w:t>
            </w:r>
          </w:p>
        </w:tc>
        <w:tc>
          <w:tcPr>
            <w:tcW w:type="dxa" w:w="286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Governing board or Board of Adjustment, as designated in the UDO</w:t>
            </w:r>
          </w:p>
        </w:tc>
      </w:tr>
      <w:tr>
        <w:trPr>
          <w:cantSplit/>
        </w:trPr>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Public hearing</w:t>
            </w:r>
          </w:p>
        </w:tc>
        <w:tc>
          <w:tcPr>
            <w:tcW w:type="dxa" w:w="252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None</w:t>
            </w:r>
          </w:p>
        </w:tc>
        <w:tc>
          <w:tcPr>
            <w:tcW w:type="dxa" w:w="276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Legislative public hearing; anyone may speak</w:t>
            </w:r>
          </w:p>
        </w:tc>
        <w:tc>
          <w:tcPr>
            <w:tcW w:type="dxa" w:w="286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Evidentiary hearing with sworn testimony; participation limited to parties with standing</w:t>
            </w:r>
          </w:p>
        </w:tc>
      </w:tr>
      <w:tr>
        <w:trPr>
          <w:cantSplit/>
        </w:trPr>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Basis for decision</w:t>
            </w:r>
          </w:p>
        </w:tc>
        <w:tc>
          <w:tcPr>
            <w:tcW w:type="dxa" w:w="252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Whether the application meets the written standards</w:t>
            </w:r>
          </w:p>
        </w:tc>
        <w:tc>
          <w:tcPr>
            <w:tcW w:type="dxa" w:w="276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Board's policy judgment and consistency with adopted plans (§ 160D-605)</w:t>
            </w:r>
          </w:p>
        </w:tc>
        <w:tc>
          <w:tcPr>
            <w:tcW w:type="dxa" w:w="286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Whether competent, material, and substantial evidence shows the standards are met</w:t>
            </w:r>
          </w:p>
        </w:tc>
      </w:tr>
      <w:tr>
        <w:trPr>
          <w:cantSplit/>
        </w:trPr>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Conditions</w:t>
            </w:r>
          </w:p>
        </w:tc>
        <w:tc>
          <w:tcPr>
            <w:tcW w:type="dxa" w:w="252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None beyond the ordinance</w:t>
            </w:r>
          </w:p>
        </w:tc>
        <w:tc>
          <w:tcPr>
            <w:tcW w:type="dxa" w:w="276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Must be mutually agreed upon by the applicant and the board</w:t>
            </w:r>
          </w:p>
        </w:tc>
        <w:tc>
          <w:tcPr>
            <w:tcW w:type="dxa" w:w="286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Board may impose reasonable conditions within its authority</w:t>
            </w:r>
          </w:p>
        </w:tc>
      </w:tr>
      <w:tr>
        <w:trPr>
          <w:cantSplit/>
        </w:trPr>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Can the board deny?</w:t>
            </w:r>
          </w:p>
        </w:tc>
        <w:tc>
          <w:tcPr>
            <w:tcW w:type="dxa" w:w="252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No, if the standards are met</w:t>
            </w:r>
          </w:p>
        </w:tc>
        <w:tc>
          <w:tcPr>
            <w:tcW w:type="dxa" w:w="276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Yes, with broad discretion</w:t>
            </w:r>
          </w:p>
        </w:tc>
        <w:tc>
          <w:tcPr>
            <w:tcW w:type="dxa" w:w="286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Only if the evidence shows a standard is not met</w:t>
            </w:r>
          </w:p>
        </w:tc>
      </w:tr>
      <w:tr>
        <w:trPr>
          <w:cantSplit/>
        </w:trPr>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8"/>
                <w:szCs w:val="18"/>
              </w:rPr>
              <w:t xml:space="preserve">Appeal or challenge</w:t>
            </w:r>
          </w:p>
        </w:tc>
        <w:tc>
          <w:tcPr>
            <w:tcW w:type="dxa" w:w="252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Appeal to the Board of Adjustment</w:t>
            </w:r>
          </w:p>
        </w:tc>
        <w:tc>
          <w:tcPr>
            <w:tcW w:type="dxa" w:w="276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Court challenge to the ordinance's validity (e.g., spot zoning, arbitrary action)</w:t>
            </w:r>
          </w:p>
        </w:tc>
        <w:tc>
          <w:tcPr>
            <w:tcW w:type="dxa" w:w="286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8"/>
                <w:szCs w:val="18"/>
              </w:rPr>
              <w:t xml:space="preserve">Appeal to Superior Court on the hearing record</w:t>
            </w:r>
          </w:p>
        </w:tc>
      </w:tr>
    </w:tbl>
    <w:p>
      <w:pPr>
        <w:spacing w:after="240" w:before="0"/>
      </w:pPr>
    </w:p>
    <w:p>
      <w:pPr>
        <w:keepNext/>
        <w:spacing w:after="100" w:before="200"/>
      </w:pPr>
      <w:r>
        <w:rPr>
          <w:rFonts w:ascii="Seaford" w:cs="Seaford" w:eastAsia="Seaford" w:hAnsi="Seaford"/>
          <w:b/>
          <w:bCs/>
          <w:color w:val="49497F"/>
          <w:sz w:val="23"/>
          <w:szCs w:val="23"/>
        </w:rPr>
        <w:t xml:space="preserve">Classification Table</w:t>
      </w:r>
    </w:p>
    <w:p>
      <w:pPr>
        <w:spacing w:after="140" w:before="0" w:line="276"/>
      </w:pPr>
      <w:r>
        <w:rPr>
          <w:rFonts w:ascii="Seaford" w:cs="Seaford" w:eastAsia="Seaford" w:hAnsi="Seaford"/>
          <w:color w:val="2E3338"/>
          <w:sz w:val="21"/>
          <w:szCs w:val="21"/>
        </w:rPr>
        <w:t xml:space="preserve">Data centers shall be classified and permitted as follows: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000"/>
        <w:gridCol w:w="1900"/>
        <w:gridCol w:w="4748"/>
      </w:tblGrid>
      <w:tr>
        <w:trPr>
          <w:cantSplit/>
          <w:tblHeader/>
        </w:trPr>
        <w:tc>
          <w:tcPr>
            <w:tcW w:type="dxa" w:w="30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Use Type</w:t>
            </w:r>
          </w:p>
        </w:tc>
        <w:tc>
          <w:tcPr>
            <w:tcW w:type="dxa" w:w="19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Permitted By-Right</w:t>
            </w:r>
          </w:p>
        </w:tc>
        <w:tc>
          <w:tcPr>
            <w:tcW w:type="dxa" w:w="474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Conditional Zoning or Special Use Permit (select one locally)</w:t>
            </w:r>
          </w:p>
        </w:tc>
      </w:tr>
      <w:tr>
        <w:trPr>
          <w:cantSplit/>
        </w:trPr>
        <w:tc>
          <w:tcPr>
            <w:tcW w:type="dxa" w:w="30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Tier 1 (Standard) Data Center</w:t>
            </w:r>
          </w:p>
        </w:tc>
        <w:tc>
          <w:tcPr>
            <w:tcW w:type="dxa" w:w="19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r>
              <w:rPr>
                <w:rFonts w:ascii="Seaford" w:cs="Seaford" w:eastAsia="Seaford" w:hAnsi="Seaford"/>
                <w:i/>
                <w:iCs/>
                <w:color w:val="49497F"/>
                <w:sz w:val="19"/>
                <w:szCs w:val="19"/>
              </w:rPr>
              <w:t xml:space="preserve">Not recommended</w:t>
            </w:r>
          </w:p>
        </w:tc>
        <w:tc>
          <w:tcPr>
            <w:tcW w:type="dxa" w:w="47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I-1</w:t>
            </w:r>
          </w:p>
        </w:tc>
      </w:tr>
      <w:tr>
        <w:trPr>
          <w:cantSplit/>
        </w:trPr>
        <w:tc>
          <w:tcPr>
            <w:tcW w:type="dxa" w:w="30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Tier 2 (Large) Data Center</w:t>
            </w:r>
          </w:p>
        </w:tc>
        <w:tc>
          <w:tcPr>
            <w:tcW w:type="dxa" w:w="19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r>
              <w:rPr>
                <w:rFonts w:ascii="Seaford" w:cs="Seaford" w:eastAsia="Seaford" w:hAnsi="Seaford"/>
                <w:i/>
                <w:iCs/>
                <w:color w:val="49497F"/>
                <w:sz w:val="19"/>
                <w:szCs w:val="19"/>
              </w:rPr>
              <w:t xml:space="preserve">Not recommended</w:t>
            </w:r>
          </w:p>
        </w:tc>
        <w:tc>
          <w:tcPr>
            <w:tcW w:type="dxa" w:w="47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I-2</w:t>
            </w:r>
          </w:p>
        </w:tc>
      </w:tr>
      <w:tr>
        <w:trPr>
          <w:cantSplit/>
        </w:trPr>
        <w:tc>
          <w:tcPr>
            <w:tcW w:type="dxa" w:w="30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Tier 3 (Hyperscale) Data Center</w:t>
            </w:r>
          </w:p>
        </w:tc>
        <w:tc>
          <w:tcPr>
            <w:tcW w:type="dxa" w:w="19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r>
              <w:rPr>
                <w:rFonts w:ascii="Seaford" w:cs="Seaford" w:eastAsia="Seaford" w:hAnsi="Seaford"/>
                <w:i/>
                <w:iCs/>
                <w:color w:val="49497F"/>
                <w:sz w:val="19"/>
                <w:szCs w:val="19"/>
              </w:rPr>
              <w:t xml:space="preserve">Not recommended</w:t>
            </w:r>
          </w:p>
        </w:tc>
        <w:tc>
          <w:tcPr>
            <w:tcW w:type="dxa" w:w="47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I-2</w:t>
            </w:r>
          </w:p>
        </w:tc>
      </w:tr>
    </w:tbl>
    <w:p>
      <w:pPr>
        <w:spacing w:after="20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F4AF40" w:sz="36"/>
              <w:bottom w:val="none" w:color="FFFFFF" w:sz="0"/>
              <w:right w:val="none" w:color="FFFFFF" w:sz="0"/>
            </w:tcBorders>
            <w:shd w:fill="FDF3E1"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NOTE:</w:t>
            </w:r>
            <w:r>
              <w:rPr>
                <w:rFonts w:ascii="Seaford" w:cs="Seaford" w:eastAsia="Seaford" w:hAnsi="Seaford"/>
                <w:color w:val="2E3338"/>
                <w:sz w:val="19"/>
                <w:szCs w:val="19"/>
              </w:rPr>
              <w:t xml:space="preserve"> </w:t>
            </w:r>
            <w:r>
              <w:rPr>
                <w:rFonts w:ascii="Seaford" w:cs="Seaford" w:eastAsia="Seaford" w:hAnsi="Seaford"/>
                <w:i/>
                <w:iCs/>
                <w:color w:val="2E3338"/>
                <w:sz w:val="19"/>
                <w:szCs w:val="19"/>
              </w:rPr>
              <w:t xml:space="preserve">Local governments should review and adjust permitted districts to align with local zoning maps and district classifications. The choice between conditional zoning and a special use permit should be made with the local government attorney. KEY - All data centers remain subject to all applicable supplemental use standards in Section 5.</w:t>
            </w:r>
          </w:p>
        </w:tc>
      </w:tr>
    </w:tbl>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13" w:name="_TocCP13"/>
            <w:r>
              <w:rPr>
                <w:rFonts w:ascii="Seaford" w:cs="Seaford" w:eastAsia="Seaford" w:hAnsi="Seaford"/>
                <w:b/>
                <w:bCs/>
                <w:color w:val="9FD75C"/>
                <w:spacing w:val="60"/>
                <w:sz w:val="20"/>
                <w:szCs w:val="20"/>
              </w:rPr>
              <w:t xml:space="preserve">SECTION 4.</w:t>
            </w:r>
            <w:r>
              <w:rPr>
                <w:rFonts w:ascii="Seaford" w:cs="Seaford" w:eastAsia="Seaford" w:hAnsi="Seaford"/>
                <w:b/>
                <w:bCs/>
                <w:color w:val="FFFFFF"/>
                <w:sz w:val="34"/>
                <w:szCs w:val="34"/>
              </w:rPr>
              <w:br/>
              <w:t xml:space="preserve">APPLICATION REQUIREMENTS</w:t>
            </w:r>
            <w:bookmarkEnd w:id="913"/>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14" w:name="_TocCP14"/>
      <w:r>
        <w:rPr>
          <w:rFonts w:ascii="Seaford" w:cs="Seaford" w:eastAsia="Seaford" w:hAnsi="Seaford"/>
          <w:b/>
          <w:bCs/>
          <w:color w:val="49497F"/>
          <w:sz w:val="28"/>
          <w:szCs w:val="28"/>
        </w:rPr>
        <w:t xml:space="preserve">4.1  Pre-Application Conference</w:t>
      </w:r>
      <w:bookmarkEnd w:id="914"/>
    </w:p>
    <w:p>
      <w:pPr>
        <w:spacing w:after="140" w:before="0" w:line="276"/>
      </w:pPr>
      <w:r>
        <w:rPr>
          <w:rFonts w:ascii="Seaford" w:cs="Seaford" w:eastAsia="Seaford" w:hAnsi="Seaford"/>
          <w:color w:val="2E3338"/>
          <w:sz w:val="21"/>
          <w:szCs w:val="21"/>
        </w:rPr>
        <w:t xml:space="preserve">Prior to submission of any application for a data center, the applicant shall attend a pre-application conference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Planning staff and relevant departmental representatives, including Public Works, Fire, Building Inspector and Town Engineer. The purpose of the pre-application conference is to identify applicable requirements, review proposed infrastructure impacts, and establish the scope of required technical studies.</w:t>
      </w:r>
    </w:p>
    <w:p>
      <w:pPr>
        <w:pStyle w:val="Heading2"/>
        <w:keepNext/>
        <w:pBdr>
          <w:left w:val="single" w:color="9FD75C" w:sz="24" w:space="8"/>
        </w:pBdr>
        <w:spacing w:after="120" w:before="280"/>
      </w:pPr>
      <w:bookmarkStart w:id="915" w:name="_TocCP15"/>
      <w:r>
        <w:rPr>
          <w:rFonts w:ascii="Seaford" w:cs="Seaford" w:eastAsia="Seaford" w:hAnsi="Seaford"/>
          <w:b/>
          <w:bCs/>
          <w:color w:val="49497F"/>
          <w:sz w:val="28"/>
          <w:szCs w:val="28"/>
        </w:rPr>
        <w:t xml:space="preserve">4.2  Required Submissions</w:t>
      </w:r>
      <w:bookmarkEnd w:id="915"/>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keepNext/>
              <w:spacing w:after="80"/>
            </w:pPr>
            <w:r>
              <w:rPr>
                <w:rFonts w:ascii="Seaford" w:cs="Seaford" w:eastAsia="Seaford" w:hAnsi="Seaford"/>
                <w:b/>
                <w:bCs/>
                <w:color w:val="49497F"/>
                <w:sz w:val="21"/>
                <w:szCs w:val="21"/>
              </w:rPr>
              <w:t xml:space="preserve">Advisory Note: State Law and Pending Legislation</w:t>
            </w:r>
          </w:p>
          <w:p>
            <w:pPr>
              <w:spacing w:after="100" w:before="0" w:line="276"/>
            </w:pPr>
            <w:r>
              <w:rPr>
                <w:rFonts w:ascii="Seaford" w:cs="Seaford" w:eastAsia="Seaford" w:hAnsi="Seaford"/>
                <w:color w:val="2E3338"/>
                <w:sz w:val="19"/>
                <w:szCs w:val="19"/>
              </w:rPr>
              <w:t xml:space="preserve">North Carolina local governments should review these application requirements in light of existing State law, including S.L. 2024-57 and G.S. 160D-601, as well as any subsequent legislation affecting local development regulations. S.L. 2024-57 amended G.S. 160D-601 to limit a local government's ability to initiate certain zoning map amendments and text amendments that would reduce the development or use rights of affected property without the property owner's consent. Because those limitations may affect how local governments adopt or apply new development regulations, local governments should consult their attorney when incorporating this model language into an existing ordinance.</w:t>
            </w:r>
          </w:p>
          <w:p>
            <w:pPr>
              <w:spacing w:after="100" w:before="0" w:line="276"/>
            </w:pPr>
            <w:r>
              <w:rPr>
                <w:rFonts w:ascii="Seaford" w:cs="Seaford" w:eastAsia="Seaford" w:hAnsi="Seaford"/>
                <w:color w:val="2E3338"/>
                <w:sz w:val="19"/>
                <w:szCs w:val="19"/>
              </w:rPr>
              <w:t xml:space="preserve">The Ratepayer Protection Act was proposed during the 2025 - 2026 legislative session but has not passed and is not currently law. If enacted, the legislation could establish additional state-level requirements that local governments would need to incorporate into the review and approval of new data center projects.</w:t>
            </w:r>
          </w:p>
          <w:p>
            <w:pPr>
              <w:spacing w:after="100" w:before="0" w:line="276"/>
            </w:pPr>
            <w:r>
              <w:rPr>
                <w:rFonts w:ascii="Seaford" w:cs="Seaford" w:eastAsia="Seaford" w:hAnsi="Seaford"/>
                <w:color w:val="2E3338"/>
                <w:sz w:val="19"/>
                <w:szCs w:val="19"/>
              </w:rPr>
              <w:t xml:space="preserve">As proposed, the Act would require applicants to complete a sound assessment addressing residential units and schools within 500 feet of the data center property boundary before approval of a rezoning, special exception, conditional or special use permit, or building permit. It would also require applicants to attest that the facility will use a closed-loop water or liquid cooling system designed to minimize water consumption to the maximum extent possible. Because the legislation remains pending, these provisions should not be treated as current state requirements. Local governments should continue to monitor the legislation and, if it is enacted, review local application requirements and approval procedures for consistency with the new state requirements.</w:t>
            </w:r>
          </w:p>
        </w:tc>
      </w:tr>
    </w:tbl>
    <w:p>
      <w:pPr>
        <w:spacing w:after="200" w:before="0"/>
      </w:pPr>
    </w:p>
    <w:p>
      <w:pPr>
        <w:keepNext/>
        <w:spacing w:after="100" w:before="200"/>
      </w:pPr>
      <w:r>
        <w:rPr>
          <w:rFonts w:ascii="Seaford" w:cs="Seaford" w:eastAsia="Seaford" w:hAnsi="Seaford"/>
          <w:b/>
          <w:bCs/>
          <w:color w:val="49497F"/>
          <w:sz w:val="23"/>
          <w:szCs w:val="23"/>
        </w:rPr>
        <w:t xml:space="preserve">Required Submissions</w:t>
      </w:r>
    </w:p>
    <w:p>
      <w:pPr>
        <w:spacing w:after="140" w:before="0" w:line="276"/>
      </w:pPr>
      <w:r>
        <w:rPr>
          <w:rFonts w:ascii="Seaford" w:cs="Seaford" w:eastAsia="Seaford" w:hAnsi="Seaford"/>
          <w:color w:val="2E3338"/>
          <w:sz w:val="21"/>
          <w:szCs w:val="21"/>
        </w:rPr>
        <w:t xml:space="preserve">Applications for a Data Center shall include the information necessary to determine compliance with the applicable requirements of this ordinance and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's existing development review requirements.</w:t>
      </w:r>
    </w:p>
    <w:p>
      <w:pPr>
        <w:spacing w:after="140" w:before="0" w:line="276"/>
      </w:pPr>
      <w:r>
        <w:rPr>
          <w:rFonts w:ascii="Seaford" w:cs="Seaford" w:eastAsia="Seaford" w:hAnsi="Seaford"/>
          <w:color w:val="2E3338"/>
          <w:sz w:val="21"/>
          <w:szCs w:val="21"/>
        </w:rPr>
        <w:t xml:space="preserve">Where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has adopted requirements for an Environmental Impact Statement (EIS) for major development projects pursuant to G.S. 113A-8, a Data Center meeting the established criteria for such review shall submit an EIS in accordance with those requirements. Any EIS requirement shall be established by ordinance and applied consistently to qualifying development projects.</w:t>
      </w:r>
    </w:p>
    <w:p>
      <w:pPr>
        <w:spacing w:after="140" w:before="0" w:line="276"/>
      </w:pPr>
      <w:r>
        <w:rPr>
          <w:rFonts w:ascii="Seaford" w:cs="Seaford" w:eastAsia="Seaford" w:hAnsi="Seaford"/>
          <w:color w:val="2E3338"/>
          <w:sz w:val="21"/>
          <w:szCs w:val="21"/>
        </w:rPr>
        <w:t xml:space="preserve">At a minimum, the applicant shall provide as applicable:</w:t>
      </w:r>
    </w:p>
    <w:p>
      <w:pPr>
        <w:pStyle w:val="ListParagraph"/>
        <w:numPr>
          <w:ilvl w:val="0"/>
          <w:numId w:val="4"/>
        </w:numPr>
        <w:spacing w:after="100" w:line="276"/>
      </w:pPr>
      <w:r>
        <w:rPr>
          <w:rFonts w:ascii="Seaford" w:cs="Seaford" w:eastAsia="Seaford" w:hAnsi="Seaford"/>
          <w:color w:val="2E3338"/>
          <w:sz w:val="21"/>
          <w:szCs w:val="21"/>
        </w:rPr>
        <w:t xml:space="preserve">Water and wastewater information identifying anticipated average and peak demand, anticipated wastewater generation and characteristics, proposed cooling methodology, and any infrastructure improvements necessary to serve the development. Any additional capacity or impact study shall be required in accordance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's generally applicable utility review requirements.</w:t>
      </w:r>
    </w:p>
    <w:p>
      <w:pPr>
        <w:pStyle w:val="ListParagraph"/>
        <w:numPr>
          <w:ilvl w:val="0"/>
          <w:numId w:val="4"/>
        </w:numPr>
        <w:spacing w:after="100" w:line="276"/>
      </w:pPr>
      <w:r>
        <w:rPr>
          <w:rFonts w:ascii="Seaford" w:cs="Seaford" w:eastAsia="Seaford" w:hAnsi="Seaford"/>
          <w:color w:val="2E3338"/>
          <w:sz w:val="21"/>
          <w:szCs w:val="21"/>
        </w:rPr>
        <w:t xml:space="preserve">A site plan prepared in accordance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's existing development review requirements demonstrating compliance with applicable development standards.</w:t>
      </w:r>
    </w:p>
    <w:p>
      <w:pPr>
        <w:pStyle w:val="ListParagraph"/>
        <w:numPr>
          <w:ilvl w:val="0"/>
          <w:numId w:val="4"/>
        </w:numPr>
        <w:spacing w:after="100" w:line="276"/>
      </w:pPr>
      <w:r>
        <w:rPr>
          <w:rFonts w:ascii="Seaford" w:cs="Seaford" w:eastAsia="Seaford" w:hAnsi="Seaford"/>
          <w:color w:val="2E3338"/>
          <w:sz w:val="21"/>
          <w:szCs w:val="21"/>
        </w:rPr>
        <w:t xml:space="preserve">Existing conditions information sufficient to identify relevant site characteristics, including topography, drainage, existing utilities, easements, structures, impervious surfaces, and adjacent land uses. Existing surveys or site documentation required through the local government's development review process may be used to satisfy this requirement.</w:t>
      </w:r>
    </w:p>
    <w:p>
      <w:pPr>
        <w:pStyle w:val="Heading2"/>
        <w:keepNext/>
        <w:pBdr>
          <w:left w:val="single" w:color="9FD75C" w:sz="24" w:space="8"/>
        </w:pBdr>
        <w:spacing w:after="120" w:before="280"/>
      </w:pPr>
      <w:bookmarkStart w:id="916" w:name="_TocCP16"/>
      <w:r>
        <w:rPr>
          <w:rFonts w:ascii="Seaford" w:cs="Seaford" w:eastAsia="Seaford" w:hAnsi="Seaford"/>
          <w:b/>
          <w:bCs/>
          <w:color w:val="49497F"/>
          <w:sz w:val="28"/>
          <w:szCs w:val="28"/>
        </w:rPr>
        <w:t xml:space="preserve">4.3  Review and Approval Process</w:t>
      </w:r>
      <w:bookmarkEnd w:id="916"/>
    </w:p>
    <w:p>
      <w:pPr>
        <w:pStyle w:val="ListParagraph"/>
        <w:numPr>
          <w:ilvl w:val="0"/>
          <w:numId w:val="5"/>
        </w:numPr>
        <w:spacing w:after="100" w:line="276"/>
      </w:pPr>
      <w:r>
        <w:rPr>
          <w:rFonts w:ascii="Seaford" w:cs="Seaford" w:eastAsia="Seaford" w:hAnsi="Seaford"/>
          <w:color w:val="2E3338"/>
          <w:sz w:val="21"/>
          <w:szCs w:val="21"/>
        </w:rPr>
        <w:t xml:space="preserve">All data center applications shall be processed in accordance with the applicable review procedure set forth in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and N.C.G.S. Chapter 160D.</w:t>
      </w:r>
    </w:p>
    <w:p>
      <w:pPr>
        <w:pStyle w:val="ListParagraph"/>
        <w:numPr>
          <w:ilvl w:val="0"/>
          <w:numId w:val="5"/>
        </w:numPr>
        <w:spacing w:after="100" w:line="276"/>
      </w:pPr>
      <w:r>
        <w:rPr>
          <w:rFonts w:ascii="Seaford" w:cs="Seaford" w:eastAsia="Seaford" w:hAnsi="Seaford"/>
          <w:color w:val="2E3338"/>
          <w:sz w:val="21"/>
          <w:szCs w:val="21"/>
        </w:rPr>
        <w:t xml:space="preserve">Tier 3 (Hyperscale) Where conditional rezoning is used for a data center, conditions shall be mutually agreed upon by the applicant and the local government in accordance with N.C.G.S. § 160D-703. Conditions may address operational performance standards, phasing requirements, infrastructure improvements, monitoring, and reporting obligations.</w:t>
      </w:r>
    </w:p>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17" w:name="_TocCP17"/>
            <w:r>
              <w:rPr>
                <w:rFonts w:ascii="Seaford" w:cs="Seaford" w:eastAsia="Seaford" w:hAnsi="Seaford"/>
                <w:b/>
                <w:bCs/>
                <w:color w:val="9FD75C"/>
                <w:spacing w:val="60"/>
                <w:sz w:val="20"/>
                <w:szCs w:val="20"/>
              </w:rPr>
              <w:t xml:space="preserve">SECTION 5.</w:t>
            </w:r>
            <w:r>
              <w:rPr>
                <w:rFonts w:ascii="Seaford" w:cs="Seaford" w:eastAsia="Seaford" w:hAnsi="Seaford"/>
                <w:b/>
                <w:bCs/>
                <w:color w:val="FFFFFF"/>
                <w:sz w:val="34"/>
                <w:szCs w:val="34"/>
              </w:rPr>
              <w:br/>
              <w:t xml:space="preserve">SUPPLEMENTAL USE STANDARDS</w:t>
            </w:r>
            <w:bookmarkEnd w:id="917"/>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spacing w:after="140" w:before="0" w:line="276"/>
      </w:pPr>
      <w:r>
        <w:rPr>
          <w:rFonts w:ascii="Seaford" w:cs="Seaford" w:eastAsia="Seaford" w:hAnsi="Seaford"/>
          <w:color w:val="2E3338"/>
          <w:sz w:val="21"/>
          <w:szCs w:val="21"/>
        </w:rPr>
        <w:t xml:space="preserve">The following standards shall apply to all data centers unless a specific standard is designated for a particular use type. In the event of conflict with any other provision of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the more restrictive standard applies.</w:t>
      </w:r>
    </w:p>
    <w:p>
      <w:pPr>
        <w:pStyle w:val="Heading2"/>
        <w:keepNext/>
        <w:pBdr>
          <w:left w:val="single" w:color="9FD75C" w:sz="24" w:space="8"/>
        </w:pBdr>
        <w:spacing w:after="120" w:before="280"/>
      </w:pPr>
      <w:bookmarkStart w:id="918" w:name="_TocCP18"/>
      <w:r>
        <w:rPr>
          <w:rFonts w:ascii="Seaford" w:cs="Seaford" w:eastAsia="Seaford" w:hAnsi="Seaford"/>
          <w:b/>
          <w:bCs/>
          <w:color w:val="49497F"/>
          <w:sz w:val="28"/>
          <w:szCs w:val="28"/>
        </w:rPr>
        <w:t xml:space="preserve">5.0  Tiered Standards Overview</w:t>
      </w:r>
      <w:bookmarkEnd w:id="918"/>
    </w:p>
    <w:p>
      <w:pPr>
        <w:spacing w:after="140" w:before="0" w:line="276"/>
      </w:pPr>
      <w:r>
        <w:rPr>
          <w:rFonts w:ascii="Seaford" w:cs="Seaford" w:eastAsia="Seaford" w:hAnsi="Seaford"/>
          <w:color w:val="2E3338"/>
          <w:sz w:val="21"/>
          <w:szCs w:val="21"/>
        </w:rPr>
        <w:t xml:space="preserve">Data centers are classified into three cumulative tiers based on Ultimate Electrical Demand at full build-out (see Section 2). Each tier carries forward every requirement of the tier(s) below it, in addition to the requirements specific to that tier. The table below summarizes the standards in this Section 5, and the reporting requirements in Section 6, scale by tier; the operative standard in each case is the corresponding numbered subsection, not this summary table.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500"/>
        <w:gridCol w:w="1350"/>
        <w:gridCol w:w="1900"/>
        <w:gridCol w:w="4898"/>
      </w:tblGrid>
      <w:tr>
        <w:trPr>
          <w:cantSplit/>
          <w:tblHeader/>
        </w:trPr>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Tier</w:t>
            </w:r>
          </w:p>
        </w:tc>
        <w:tc>
          <w:tcPr>
            <w:tcW w:type="dxa" w:w="135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Ultimate Electrical Demand</w:t>
            </w:r>
          </w:p>
        </w:tc>
        <w:tc>
          <w:tcPr>
            <w:tcW w:type="dxa" w:w="19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Typical Facility</w:t>
            </w:r>
          </w:p>
        </w:tc>
        <w:tc>
          <w:tcPr>
            <w:tcW w:type="dxa" w:w="489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Additional Requirements Triggered</w:t>
            </w:r>
          </w:p>
        </w:tc>
      </w:tr>
      <w:tr>
        <w:trPr>
          <w:cantSplit/>
        </w:trPr>
        <w:tc>
          <w:tcPr>
            <w:tcW w:type="dxa" w:w="1500"/>
            <w:tcBorders>
              <w:top w:val="none" w:color="FFFFFF" w:sz="0"/>
              <w:left w:val="single" w:color="9FD75C" w:sz="36"/>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b/>
                <w:bCs/>
                <w:color w:val="49497F"/>
                <w:sz w:val="18"/>
                <w:szCs w:val="18"/>
              </w:rPr>
              <w:t xml:space="preserve">Tier 1 (Standard)</w:t>
            </w:r>
          </w:p>
        </w:tc>
        <w:tc>
          <w:tcPr>
            <w:tcW w:type="dxa" w:w="135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Less than 50 MW</w:t>
            </w:r>
          </w:p>
        </w:tc>
        <w:tc>
          <w:tcPr>
            <w:tcW w:type="dxa" w:w="19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Enterprise/internal facility; small or regional colocation facility</w:t>
            </w:r>
          </w:p>
        </w:tc>
        <w:tc>
          <w:tcPr>
            <w:tcW w:type="dxa" w:w="489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pStyle w:val="ListParagraph"/>
              <w:numPr>
                <w:ilvl w:val="0"/>
                <w:numId w:val="2"/>
              </w:numPr>
              <w:spacing w:after="40"/>
            </w:pPr>
            <w:r>
              <w:rPr>
                <w:rFonts w:ascii="Seaford" w:cs="Seaford" w:eastAsia="Seaford" w:hAnsi="Seaford"/>
                <w:color w:val="2E3338"/>
                <w:sz w:val="18"/>
                <w:szCs w:val="18"/>
              </w:rPr>
              <w:t xml:space="preserve">Standard UDO setbacks and dimensional standards (Section 5.2)</w:t>
            </w:r>
          </w:p>
          <w:p>
            <w:pPr>
              <w:pStyle w:val="ListParagraph"/>
              <w:numPr>
                <w:ilvl w:val="0"/>
                <w:numId w:val="2"/>
              </w:numPr>
              <w:spacing w:after="40"/>
            </w:pPr>
            <w:r>
              <w:rPr>
                <w:rFonts w:ascii="Seaford" w:cs="Seaford" w:eastAsia="Seaford" w:hAnsi="Seaford"/>
                <w:color w:val="2E3338"/>
                <w:sz w:val="18"/>
                <w:szCs w:val="18"/>
              </w:rPr>
              <w:t xml:space="preserve">Mechanical equipment screening (Section 5.4.3)</w:t>
            </w:r>
          </w:p>
          <w:p>
            <w:pPr>
              <w:pStyle w:val="ListParagraph"/>
              <w:numPr>
                <w:ilvl w:val="0"/>
                <w:numId w:val="2"/>
              </w:numPr>
              <w:spacing w:after="40"/>
            </w:pPr>
            <w:r>
              <w:rPr>
                <w:rFonts w:ascii="Seaford" w:cs="Seaford" w:eastAsia="Seaford" w:hAnsi="Seaford"/>
                <w:color w:val="2E3338"/>
                <w:sz w:val="18"/>
                <w:szCs w:val="18"/>
              </w:rPr>
              <w:t xml:space="preserve">Base UDO noise standards (Section 5.4.1)</w:t>
            </w:r>
          </w:p>
          <w:p>
            <w:pPr>
              <w:pStyle w:val="ListParagraph"/>
              <w:numPr>
                <w:ilvl w:val="0"/>
                <w:numId w:val="2"/>
              </w:numPr>
              <w:spacing w:after="40"/>
            </w:pPr>
            <w:r>
              <w:rPr>
                <w:rFonts w:ascii="Seaford" w:cs="Seaford" w:eastAsia="Seaford" w:hAnsi="Seaford"/>
                <w:color w:val="2E3338"/>
                <w:sz w:val="18"/>
                <w:szCs w:val="18"/>
              </w:rPr>
              <w:t xml:space="preserve">Landscape buffer along adjacent residential/sensitive-use boundaries (Section 5.3)</w:t>
            </w:r>
          </w:p>
          <w:p>
            <w:pPr>
              <w:pStyle w:val="ListParagraph"/>
              <w:numPr>
                <w:ilvl w:val="0"/>
                <w:numId w:val="2"/>
              </w:numPr>
              <w:spacing w:after="40"/>
            </w:pPr>
            <w:r>
              <w:rPr>
                <w:rFonts w:ascii="Seaford" w:cs="Seaford" w:eastAsia="Seaford" w:hAnsi="Seaford"/>
                <w:color w:val="2E3338"/>
                <w:sz w:val="18"/>
                <w:szCs w:val="18"/>
              </w:rPr>
              <w:t xml:space="preserve">Generator testing restricted to approved weekday daytime hours (Section 5.4.4)</w:t>
            </w:r>
          </w:p>
        </w:tc>
      </w:tr>
      <w:tr>
        <w:trPr>
          <w:cantSplit/>
        </w:trPr>
        <w:tc>
          <w:tcPr>
            <w:tcW w:type="dxa" w:w="1500"/>
            <w:tcBorders>
              <w:top w:val="none" w:color="FFFFFF" w:sz="0"/>
              <w:left w:val="single" w:color="64DAE6" w:sz="36"/>
              <w:bottom w:val="single" w:color="D9D9E6" w:sz="4"/>
              <w:right w:val="none" w:color="FFFFFF" w:sz="0"/>
            </w:tcBorders>
            <w:shd w:fill="F6F6FA" w:color="auto" w:val="clear"/>
            <w:tcMar>
              <w:top w:type="dxa" w:w="100"/>
              <w:left w:type="dxa" w:w="140"/>
              <w:bottom w:type="dxa" w:w="80"/>
              <w:right w:type="dxa" w:w="140"/>
            </w:tcMar>
          </w:tcPr>
          <w:p>
            <w:pPr>
              <w:spacing w:after="40"/>
            </w:pPr>
            <w:r>
              <w:rPr>
                <w:rFonts w:ascii="Seaford" w:cs="Seaford" w:eastAsia="Seaford" w:hAnsi="Seaford"/>
                <w:b/>
                <w:bCs/>
                <w:color w:val="49497F"/>
                <w:sz w:val="18"/>
                <w:szCs w:val="18"/>
              </w:rPr>
              <w:t xml:space="preserve">Tier 2 (Large)</w:t>
            </w:r>
          </w:p>
        </w:tc>
        <w:tc>
          <w:tcPr>
            <w:tcW w:type="dxa" w:w="135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50 MW – less than 100 MW</w:t>
            </w:r>
          </w:p>
        </w:tc>
        <w:tc>
          <w:tcPr>
            <w:tcW w:type="dxa" w:w="19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Large colocation facility; multi-building campus</w:t>
            </w:r>
          </w:p>
        </w:tc>
        <w:tc>
          <w:tcPr>
            <w:tcW w:type="dxa" w:w="489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pPr>
            <w:r>
              <w:rPr>
                <w:rFonts w:ascii="Seaford" w:cs="Seaford" w:eastAsia="Seaford" w:hAnsi="Seaford"/>
                <w:b/>
                <w:bCs/>
                <w:color w:val="2E3338"/>
                <w:sz w:val="18"/>
                <w:szCs w:val="18"/>
              </w:rPr>
              <w:t xml:space="preserve">All Tier 1 requirements, plus:</w:t>
            </w:r>
          </w:p>
          <w:p>
            <w:pPr>
              <w:pStyle w:val="ListParagraph"/>
              <w:numPr>
                <w:ilvl w:val="0"/>
                <w:numId w:val="2"/>
              </w:numPr>
              <w:spacing w:after="40"/>
            </w:pPr>
            <w:r>
              <w:rPr>
                <w:rFonts w:ascii="Seaford" w:cs="Seaford" w:eastAsia="Seaford" w:hAnsi="Seaford"/>
                <w:color w:val="2E3338"/>
                <w:sz w:val="18"/>
                <w:szCs w:val="18"/>
              </w:rPr>
              <w:t xml:space="preserve">Acoustic engineer’s report using ISO 9613 modeling (Section 5.4.2)</w:t>
            </w:r>
          </w:p>
          <w:p>
            <w:pPr>
              <w:pStyle w:val="ListParagraph"/>
              <w:numPr>
                <w:ilvl w:val="0"/>
                <w:numId w:val="2"/>
              </w:numPr>
              <w:spacing w:after="40"/>
            </w:pPr>
            <w:r>
              <w:rPr>
                <w:rFonts w:ascii="Seaford" w:cs="Seaford" w:eastAsia="Seaford" w:hAnsi="Seaford"/>
                <w:color w:val="2E3338"/>
                <w:sz w:val="18"/>
                <w:szCs w:val="18"/>
              </w:rPr>
              <w:t xml:space="preserve">Enhanced Electrical Load Impact Study (Section 5.5)</w:t>
            </w:r>
          </w:p>
          <w:p>
            <w:pPr>
              <w:pStyle w:val="ListParagraph"/>
              <w:numPr>
                <w:ilvl w:val="0"/>
                <w:numId w:val="2"/>
              </w:numPr>
              <w:spacing w:after="40"/>
            </w:pPr>
            <w:r>
              <w:rPr>
                <w:rFonts w:ascii="Seaford" w:cs="Seaford" w:eastAsia="Seaford" w:hAnsi="Seaford"/>
                <w:color w:val="2E3338"/>
                <w:sz w:val="18"/>
                <w:szCs w:val="18"/>
              </w:rPr>
              <w:t xml:space="preserve">Emergency generator and fuel-storage plan (Section 5.4.4)</w:t>
            </w:r>
          </w:p>
          <w:p>
            <w:pPr>
              <w:pStyle w:val="ListParagraph"/>
              <w:numPr>
                <w:ilvl w:val="0"/>
                <w:numId w:val="2"/>
              </w:numPr>
              <w:spacing w:after="40"/>
            </w:pPr>
            <w:r>
              <w:rPr>
                <w:rFonts w:ascii="Seaford" w:cs="Seaford" w:eastAsia="Seaford" w:hAnsi="Seaford"/>
                <w:color w:val="2E3338"/>
                <w:sz w:val="18"/>
                <w:szCs w:val="18"/>
              </w:rPr>
              <w:t xml:space="preserve">Enhanced noise study addressing cumulative mechanical equipment and generator noise (Section 5.4.2)</w:t>
            </w:r>
          </w:p>
          <w:p>
            <w:pPr>
              <w:pStyle w:val="ListParagraph"/>
              <w:numPr>
                <w:ilvl w:val="0"/>
                <w:numId w:val="2"/>
              </w:numPr>
              <w:spacing w:after="40"/>
            </w:pPr>
            <w:r>
              <w:rPr>
                <w:rFonts w:ascii="Seaford" w:cs="Seaford" w:eastAsia="Seaford" w:hAnsi="Seaford"/>
                <w:color w:val="2E3338"/>
                <w:sz w:val="18"/>
                <w:szCs w:val="18"/>
              </w:rPr>
              <w:t xml:space="preserve">Enhanced screening of rooftop and ground-mounted equipment (Section 5.4.3)</w:t>
            </w:r>
          </w:p>
          <w:p>
            <w:pPr>
              <w:pStyle w:val="ListParagraph"/>
              <w:numPr>
                <w:ilvl w:val="0"/>
                <w:numId w:val="2"/>
              </w:numPr>
              <w:spacing w:after="40"/>
            </w:pPr>
            <w:r>
              <w:rPr>
                <w:rFonts w:ascii="Seaford" w:cs="Seaford" w:eastAsia="Seaford" w:hAnsi="Seaford"/>
                <w:color w:val="2E3338"/>
                <w:sz w:val="18"/>
                <w:szCs w:val="18"/>
              </w:rPr>
              <w:t xml:space="preserve">Construction Traffic Management Plan (Section 5.8)</w:t>
            </w:r>
          </w:p>
          <w:p>
            <w:pPr>
              <w:pStyle w:val="ListParagraph"/>
              <w:numPr>
                <w:ilvl w:val="0"/>
                <w:numId w:val="2"/>
              </w:numPr>
              <w:spacing w:after="40"/>
            </w:pPr>
            <w:r>
              <w:rPr>
                <w:rFonts w:ascii="Seaford" w:cs="Seaford" w:eastAsia="Seaford" w:hAnsi="Seaford"/>
                <w:color w:val="2E3338"/>
                <w:sz w:val="18"/>
                <w:szCs w:val="18"/>
              </w:rPr>
              <w:t xml:space="preserve">Lighting plan addressing nighttime glare and spillover (Section </w:t>
            </w:r>
            <w:r>
              <w:rPr>
                <w:rFonts w:ascii="Seaford" w:cs="Seaford" w:eastAsia="Seaford" w:hAnsi="Seaford"/>
                <w:color w:val="2E3338"/>
                <w:sz w:val="18"/>
                <w:szCs w:val="18"/>
                <w:shd w:fill="FCE7C5" w:color="auto" w:val="clear"/>
              </w:rPr>
              <w:t xml:space="preserve">[ ]</w:t>
            </w:r>
            <w:r>
              <w:rPr>
                <w:rFonts w:ascii="Seaford" w:cs="Seaford" w:eastAsia="Seaford" w:hAnsi="Seaford"/>
                <w:color w:val="2E3338"/>
                <w:sz w:val="18"/>
                <w:szCs w:val="18"/>
              </w:rPr>
              <w:t xml:space="preserve">)</w:t>
            </w:r>
          </w:p>
          <w:p>
            <w:pPr>
              <w:pStyle w:val="ListParagraph"/>
              <w:numPr>
                <w:ilvl w:val="0"/>
                <w:numId w:val="2"/>
              </w:numPr>
              <w:spacing w:after="40"/>
            </w:pPr>
            <w:r>
              <w:rPr>
                <w:rFonts w:ascii="Seaford" w:cs="Seaford" w:eastAsia="Seaford" w:hAnsi="Seaford"/>
                <w:color w:val="2E3338"/>
                <w:sz w:val="18"/>
                <w:szCs w:val="18"/>
              </w:rPr>
              <w:t xml:space="preserve">Cooling and Water Demand Plan (Section 5.6)</w:t>
            </w:r>
          </w:p>
          <w:p>
            <w:pPr>
              <w:pStyle w:val="ListParagraph"/>
              <w:numPr>
                <w:ilvl w:val="0"/>
                <w:numId w:val="2"/>
              </w:numPr>
              <w:spacing w:after="40"/>
            </w:pPr>
            <w:r>
              <w:rPr>
                <w:rFonts w:ascii="Seaford" w:cs="Seaford" w:eastAsia="Seaford" w:hAnsi="Seaford"/>
                <w:color w:val="2E3338"/>
                <w:sz w:val="18"/>
                <w:szCs w:val="18"/>
              </w:rPr>
              <w:t xml:space="preserve">Decommissioning and Site Restoration Plan (Section 1.5)</w:t>
            </w:r>
          </w:p>
        </w:tc>
      </w:tr>
      <w:tr>
        <w:trPr>
          <w:cantSplit/>
        </w:trPr>
        <w:tc>
          <w:tcPr>
            <w:tcW w:type="dxa" w:w="1500"/>
            <w:tcBorders>
              <w:top w:val="none" w:color="FFFFFF" w:sz="0"/>
              <w:left w:val="single" w:color="F4AF40" w:sz="36"/>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b/>
                <w:bCs/>
                <w:color w:val="49497F"/>
                <w:sz w:val="18"/>
                <w:szCs w:val="18"/>
              </w:rPr>
              <w:t xml:space="preserve">Tier 3 (Hyperscale)</w:t>
            </w:r>
          </w:p>
        </w:tc>
        <w:tc>
          <w:tcPr>
            <w:tcW w:type="dxa" w:w="135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100 MW or greater</w:t>
            </w:r>
          </w:p>
        </w:tc>
        <w:tc>
          <w:tcPr>
            <w:tcW w:type="dxa" w:w="19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40"/>
            </w:pPr>
            <w:r>
              <w:rPr>
                <w:rFonts w:ascii="Seaford" w:cs="Seaford" w:eastAsia="Seaford" w:hAnsi="Seaford"/>
                <w:color w:val="2E3338"/>
                <w:sz w:val="18"/>
                <w:szCs w:val="18"/>
              </w:rPr>
              <w:t xml:space="preserve">Large-scale hyperscale or AI/cloud computing campus</w:t>
            </w:r>
          </w:p>
        </w:tc>
        <w:tc>
          <w:tcPr>
            <w:tcW w:type="dxa" w:w="489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pPr>
            <w:r>
              <w:rPr>
                <w:rFonts w:ascii="Seaford" w:cs="Seaford" w:eastAsia="Seaford" w:hAnsi="Seaford"/>
                <w:b/>
                <w:bCs/>
                <w:color w:val="2E3338"/>
                <w:sz w:val="18"/>
                <w:szCs w:val="18"/>
              </w:rPr>
              <w:t xml:space="preserve">All Tier 2 requirements, plus:</w:t>
            </w:r>
          </w:p>
          <w:p>
            <w:pPr>
              <w:pStyle w:val="ListParagraph"/>
              <w:numPr>
                <w:ilvl w:val="0"/>
                <w:numId w:val="2"/>
              </w:numPr>
              <w:spacing w:after="40"/>
            </w:pPr>
            <w:r>
              <w:rPr>
                <w:rFonts w:ascii="Seaford" w:cs="Seaford" w:eastAsia="Seaford" w:hAnsi="Seaford"/>
                <w:color w:val="2E3338"/>
                <w:sz w:val="18"/>
                <w:szCs w:val="18"/>
              </w:rPr>
              <w:t xml:space="preserve">Water Use and Cooling System Plan subject to Water Resources review (Section 5.6)</w:t>
            </w:r>
          </w:p>
          <w:p>
            <w:pPr>
              <w:pStyle w:val="ListParagraph"/>
              <w:numPr>
                <w:ilvl w:val="0"/>
                <w:numId w:val="2"/>
              </w:numPr>
              <w:spacing w:after="40"/>
            </w:pPr>
            <w:r>
              <w:rPr>
                <w:rFonts w:ascii="Seaford" w:cs="Seaford" w:eastAsia="Seaford" w:hAnsi="Seaford"/>
                <w:color w:val="2E3338"/>
                <w:sz w:val="18"/>
                <w:szCs w:val="18"/>
              </w:rPr>
              <w:t xml:space="preserve">Annual compliance reporting for electrical demand, noise, and water use (Section 6.1)</w:t>
            </w:r>
          </w:p>
          <w:p>
            <w:pPr>
              <w:pStyle w:val="ListParagraph"/>
              <w:numPr>
                <w:ilvl w:val="0"/>
                <w:numId w:val="2"/>
              </w:numPr>
              <w:spacing w:after="40"/>
            </w:pPr>
            <w:r>
              <w:rPr>
                <w:rFonts w:ascii="Seaford" w:cs="Seaford" w:eastAsia="Seaford" w:hAnsi="Seaford"/>
                <w:color w:val="2E3338"/>
                <w:sz w:val="18"/>
                <w:szCs w:val="18"/>
              </w:rPr>
              <w:t xml:space="preserve">Comprehensive utility capacity and infrastructure impact analysis (Sections 5.5 and 5.6)</w:t>
            </w:r>
          </w:p>
          <w:p>
            <w:pPr>
              <w:pStyle w:val="ListParagraph"/>
              <w:numPr>
                <w:ilvl w:val="0"/>
                <w:numId w:val="2"/>
              </w:numPr>
              <w:spacing w:after="40"/>
            </w:pPr>
            <w:r>
              <w:rPr>
                <w:rFonts w:ascii="Seaford" w:cs="Seaford" w:eastAsia="Seaford" w:hAnsi="Seaford"/>
                <w:color w:val="2E3338"/>
                <w:sz w:val="18"/>
                <w:szCs w:val="18"/>
              </w:rPr>
              <w:t xml:space="preserve">Evaluation/use of reclaimed or non-potable water for cooling where feasible (Section 5.6)</w:t>
            </w:r>
          </w:p>
          <w:p>
            <w:pPr>
              <w:pStyle w:val="ListParagraph"/>
              <w:numPr>
                <w:ilvl w:val="0"/>
                <w:numId w:val="2"/>
              </w:numPr>
              <w:spacing w:after="40"/>
            </w:pPr>
            <w:r>
              <w:rPr>
                <w:rFonts w:ascii="Seaford" w:cs="Seaford" w:eastAsia="Seaford" w:hAnsi="Seaford"/>
                <w:color w:val="2E3338"/>
                <w:sz w:val="18"/>
                <w:szCs w:val="18"/>
              </w:rPr>
              <w:t xml:space="preserve">Independent third-party review of electrical, water, noise, and environmental studies (Section 5.11.F)</w:t>
            </w:r>
          </w:p>
          <w:p>
            <w:pPr>
              <w:pStyle w:val="ListParagraph"/>
              <w:numPr>
                <w:ilvl w:val="0"/>
                <w:numId w:val="2"/>
              </w:numPr>
              <w:spacing w:after="40"/>
            </w:pPr>
            <w:r>
              <w:rPr>
                <w:rFonts w:ascii="Seaford" w:cs="Seaford" w:eastAsia="Seaford" w:hAnsi="Seaford"/>
                <w:color w:val="2E3338"/>
                <w:sz w:val="18"/>
                <w:szCs w:val="18"/>
              </w:rPr>
              <w:t xml:space="preserve">Advanced noise mitigation and continuous noise monitoring (Section 5.4.2.F)</w:t>
            </w:r>
          </w:p>
          <w:p>
            <w:pPr>
              <w:pStyle w:val="ListParagraph"/>
              <w:numPr>
                <w:ilvl w:val="0"/>
                <w:numId w:val="2"/>
              </w:numPr>
              <w:spacing w:after="40"/>
            </w:pPr>
            <w:r>
              <w:rPr>
                <w:rFonts w:ascii="Seaford" w:cs="Seaford" w:eastAsia="Seaford" w:hAnsi="Seaford"/>
                <w:color w:val="2E3338"/>
                <w:sz w:val="18"/>
                <w:szCs w:val="18"/>
              </w:rPr>
              <w:t xml:space="preserve">Enhanced tree canopy preservation/mitigation (Section 5.3)</w:t>
            </w:r>
          </w:p>
          <w:p>
            <w:pPr>
              <w:pStyle w:val="ListParagraph"/>
              <w:numPr>
                <w:ilvl w:val="0"/>
                <w:numId w:val="2"/>
              </w:numPr>
              <w:spacing w:after="40"/>
            </w:pPr>
            <w:r>
              <w:rPr>
                <w:rFonts w:ascii="Seaford" w:cs="Seaford" w:eastAsia="Seaford" w:hAnsi="Seaford"/>
                <w:color w:val="2E3338"/>
                <w:sz w:val="18"/>
                <w:szCs w:val="18"/>
              </w:rPr>
              <w:t xml:space="preserve">Air-quality/emissions assessment for emergency generators (Section 5.11.E)</w:t>
            </w:r>
          </w:p>
          <w:p>
            <w:pPr>
              <w:pStyle w:val="ListParagraph"/>
              <w:numPr>
                <w:ilvl w:val="0"/>
                <w:numId w:val="2"/>
              </w:numPr>
              <w:spacing w:after="40"/>
            </w:pPr>
            <w:r>
              <w:rPr>
                <w:rFonts w:ascii="Seaford" w:cs="Seaford" w:eastAsia="Seaford" w:hAnsi="Seaford"/>
                <w:color w:val="2E3338"/>
                <w:sz w:val="18"/>
                <w:szCs w:val="18"/>
              </w:rPr>
              <w:t xml:space="preserve">Enhanced emergency generator operational restrictions (Section 5.4.4.E)</w:t>
            </w:r>
          </w:p>
          <w:p>
            <w:pPr>
              <w:pStyle w:val="ListParagraph"/>
              <w:numPr>
                <w:ilvl w:val="0"/>
                <w:numId w:val="2"/>
              </w:numPr>
              <w:spacing w:after="40"/>
            </w:pPr>
            <w:r>
              <w:rPr>
                <w:rFonts w:ascii="Seaford" w:cs="Seaford" w:eastAsia="Seaford" w:hAnsi="Seaford"/>
                <w:color w:val="2E3338"/>
                <w:sz w:val="18"/>
                <w:szCs w:val="18"/>
              </w:rPr>
              <w:t xml:space="preserve">Financial assurance for decommissioning and site restoration (Section 1.5)</w:t>
            </w:r>
          </w:p>
        </w:tc>
      </w:tr>
    </w:tbl>
    <w:p>
      <w:pPr>
        <w:pStyle w:val="Heading2"/>
        <w:keepNext/>
        <w:pBdr>
          <w:left w:val="single" w:color="9FD75C" w:sz="24" w:space="8"/>
        </w:pBdr>
        <w:spacing w:after="120" w:before="280"/>
      </w:pPr>
      <w:bookmarkStart w:id="919" w:name="_TocCP19"/>
      <w:r>
        <w:rPr>
          <w:rFonts w:ascii="Seaford" w:cs="Seaford" w:eastAsia="Seaford" w:hAnsi="Seaford"/>
          <w:b/>
          <w:bCs/>
          <w:color w:val="49497F"/>
          <w:sz w:val="28"/>
          <w:szCs w:val="28"/>
        </w:rPr>
        <w:t xml:space="preserve">5.1  Site Area and Minimum Lot Size</w:t>
      </w:r>
      <w:bookmarkEnd w:id="919"/>
    </w:p>
    <w:p>
      <w:pPr>
        <w:spacing w:after="140" w:before="0" w:line="276"/>
      </w:pPr>
      <w:r>
        <w:rPr>
          <w:rFonts w:ascii="Seaford" w:cs="Seaford" w:eastAsia="Seaford" w:hAnsi="Seaford"/>
          <w:color w:val="2E3338"/>
          <w:sz w:val="21"/>
          <w:szCs w:val="21"/>
        </w:rPr>
        <w:t xml:space="preserve">Site area needs will vary based on the scale and design of the facility, infrastructure needs, applicable setbacks and buffers, and the characteristics of the proposed site. Data centers shall comply with the minimum lot size and dimensional requirements of the applicable zoning district, together with the supplemental standards of this Ordinance.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F4AF40" w:sz="36"/>
              <w:bottom w:val="none" w:color="FFFFFF" w:sz="0"/>
              <w:right w:val="none" w:color="FFFFFF" w:sz="0"/>
            </w:tcBorders>
            <w:shd w:fill="FDF3E1"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NOTE:</w:t>
            </w:r>
            <w:r>
              <w:rPr>
                <w:rFonts w:ascii="Seaford" w:cs="Seaford" w:eastAsia="Seaford" w:hAnsi="Seaford"/>
                <w:color w:val="2E3338"/>
                <w:sz w:val="19"/>
                <w:szCs w:val="19"/>
              </w:rPr>
              <w:t xml:space="preserve"> This model does not recommend a minimum lot size for data centers. Communities considering additional site area requirements should evaluate local conditions and consult with their attorney regarding applicable North Carolina law and potential impacts on existing development rights</w:t>
            </w:r>
          </w:p>
        </w:tc>
      </w:tr>
    </w:tbl>
    <w:p>
      <w:pPr>
        <w:pStyle w:val="Heading2"/>
        <w:keepNext/>
        <w:pBdr>
          <w:left w:val="single" w:color="9FD75C" w:sz="24" w:space="8"/>
        </w:pBdr>
        <w:spacing w:after="120" w:before="280"/>
      </w:pPr>
      <w:bookmarkStart w:id="920" w:name="_TocCP20"/>
      <w:r>
        <w:rPr>
          <w:rFonts w:ascii="Seaford" w:cs="Seaford" w:eastAsia="Seaford" w:hAnsi="Seaford"/>
          <w:b/>
          <w:bCs/>
          <w:color w:val="49497F"/>
          <w:sz w:val="28"/>
          <w:szCs w:val="28"/>
        </w:rPr>
        <w:t xml:space="preserve">5.2  Setbacks</w:t>
      </w:r>
      <w:bookmarkEnd w:id="920"/>
    </w:p>
    <w:p>
      <w:pPr>
        <w:spacing w:after="140" w:before="0" w:line="276"/>
      </w:pPr>
      <w:r>
        <w:rPr>
          <w:rFonts w:ascii="Seaford" w:cs="Seaford" w:eastAsia="Seaford" w:hAnsi="Seaford"/>
          <w:color w:val="2E3338"/>
          <w:sz w:val="21"/>
          <w:szCs w:val="21"/>
        </w:rPr>
        <w:t xml:space="preserve">Minimum setbacks shall be measured from the nearest exterior wall, ground-mounted mechanical equipment, or other applicable facility component to the property line or use identified below. For an on-site electrical substation, the setback shall be measured from the nearest substation equipment or enclosure to the applicable property line.</w:t>
      </w:r>
    </w:p>
    <w:p>
      <w:pPr>
        <w:spacing w:after="140" w:before="0" w:line="276"/>
      </w:pPr>
      <w:r>
        <w:rPr>
          <w:rFonts w:ascii="Seaford" w:cs="Seaford" w:eastAsia="Seaford" w:hAnsi="Seaford"/>
          <w:i/>
          <w:iCs/>
          <w:color w:val="6B6F7B"/>
          <w:sz w:val="19"/>
          <w:szCs w:val="19"/>
        </w:rPr>
        <w:t xml:space="preserve">For an on-site electrical substation, the setback is measured from the nearest substation equipment or enclosure to the applicable property line.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F4AF40" w:sz="36"/>
              <w:bottom w:val="none" w:color="FFFFFF" w:sz="0"/>
              <w:right w:val="none" w:color="FFFFFF" w:sz="0"/>
            </w:tcBorders>
            <w:shd w:fill="FDF3E1"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NOTE:</w:t>
            </w:r>
            <w:r>
              <w:rPr>
                <w:rFonts w:ascii="Seaford" w:cs="Seaford" w:eastAsia="Seaford" w:hAnsi="Seaford"/>
                <w:color w:val="2E3338"/>
                <w:sz w:val="19"/>
                <w:szCs w:val="19"/>
              </w:rPr>
              <w:t xml:space="preserve"> Setback standards should be reviewed against the local government's existing UDO and evaluated based on local conditions. Where an existing UDO already establishes an applicable setback, the local government should determine whether an additional data center-specific standard is needed. Bracketed values require local determination.</w:t>
            </w:r>
          </w:p>
        </w:tc>
      </w:tr>
    </w:tbl>
    <w:p>
      <w:pPr>
        <w:spacing w:after="20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300"/>
        <w:gridCol w:w="2116"/>
        <w:gridCol w:w="2116"/>
        <w:gridCol w:w="2116"/>
      </w:tblGrid>
      <w:tr>
        <w:trPr>
          <w:cantSplit/>
          <w:tblHeader/>
        </w:trPr>
        <w:tc>
          <w:tcPr>
            <w:tcW w:type="dxa" w:w="33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Setback From</w:t>
            </w:r>
          </w:p>
        </w:tc>
        <w:tc>
          <w:tcPr>
            <w:tcW w:type="dxa" w:w="2116"/>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Tier 1 (Standard)</w:t>
            </w:r>
          </w:p>
        </w:tc>
        <w:tc>
          <w:tcPr>
            <w:tcW w:type="dxa" w:w="2116"/>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Tier 2 (Large)</w:t>
            </w:r>
          </w:p>
        </w:tc>
        <w:tc>
          <w:tcPr>
            <w:tcW w:type="dxa" w:w="2116"/>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Tier 3 (Hyperscale)</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Front yard (street right-of-way)</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100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150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200 ft</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Side and rear property line</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100 ft</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150 ft</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300 ft</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Residential zoning district or use</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300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500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1,000 ft</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Sensitive Receptor</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300 ft</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500 ft</w:t>
            </w:r>
          </w:p>
        </w:tc>
        <w:tc>
          <w:tcPr>
            <w:tcW w:type="dxa" w:w="2116"/>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1,000 ft</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Electrical substation (on-site)</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50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100 ft</w:t>
            </w:r>
          </w:p>
        </w:tc>
        <w:tc>
          <w:tcPr>
            <w:tcW w:type="dxa" w:w="2116"/>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150 ft</w:t>
            </w:r>
          </w:p>
        </w:tc>
      </w:tr>
    </w:tbl>
    <w:p>
      <w:pPr>
        <w:spacing w:after="20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F4AF40" w:sz="36"/>
              <w:bottom w:val="none" w:color="FFFFFF" w:sz="0"/>
              <w:right w:val="none" w:color="FFFFFF" w:sz="0"/>
            </w:tcBorders>
            <w:shd w:fill="FDF3E1"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NOTE:</w:t>
            </w:r>
            <w:r>
              <w:rPr>
                <w:rFonts w:ascii="Seaford" w:cs="Seaford" w:eastAsia="Seaford" w:hAnsi="Seaford"/>
                <w:color w:val="2E3338"/>
                <w:sz w:val="19"/>
                <w:szCs w:val="19"/>
              </w:rPr>
              <w:t xml:space="preserve"> </w:t>
            </w:r>
            <w:r>
              <w:rPr>
                <w:rFonts w:ascii="Seaford" w:cs="Seaford" w:eastAsia="Seaford" w:hAnsi="Seaford"/>
                <w:i/>
                <w:iCs/>
                <w:color w:val="2E3338"/>
                <w:sz w:val="19"/>
                <w:szCs w:val="19"/>
              </w:rPr>
              <w:t xml:space="preserve">Setback standards need to be evaluated by the local government in context of the specific local conditions.</w:t>
            </w:r>
          </w:p>
        </w:tc>
      </w:tr>
    </w:tbl>
    <w:p>
      <w:pPr>
        <w:pStyle w:val="Heading2"/>
        <w:keepNext/>
        <w:pBdr>
          <w:left w:val="single" w:color="9FD75C" w:sz="24" w:space="8"/>
        </w:pBdr>
        <w:spacing w:after="120" w:before="280"/>
      </w:pPr>
      <w:bookmarkStart w:id="921" w:name="_TocCP21"/>
      <w:r>
        <w:rPr>
          <w:rFonts w:ascii="Seaford" w:cs="Seaford" w:eastAsia="Seaford" w:hAnsi="Seaford"/>
          <w:b/>
          <w:bCs/>
          <w:color w:val="49497F"/>
          <w:sz w:val="28"/>
          <w:szCs w:val="28"/>
        </w:rPr>
        <w:t xml:space="preserve">5.3  Buffers and Landscaping</w:t>
      </w:r>
      <w:bookmarkEnd w:id="921"/>
    </w:p>
    <w:p>
      <w:pPr>
        <w:pStyle w:val="ListParagraph"/>
        <w:numPr>
          <w:ilvl w:val="0"/>
          <w:numId w:val="6"/>
        </w:numPr>
        <w:spacing w:after="100" w:line="276"/>
      </w:pPr>
      <w:r>
        <w:rPr>
          <w:rFonts w:ascii="Seaford" w:cs="Seaford" w:eastAsia="Seaford" w:hAnsi="Seaford"/>
          <w:color w:val="2E3338"/>
          <w:sz w:val="21"/>
          <w:szCs w:val="21"/>
        </w:rPr>
        <w:t xml:space="preserve">All data centers shall provide a Type </w:t>
      </w:r>
      <w:r>
        <w:rPr>
          <w:rFonts w:ascii="Seaford" w:cs="Seaford" w:eastAsia="Seaford" w:hAnsi="Seaford"/>
          <w:color w:val="2E3338"/>
          <w:sz w:val="21"/>
          <w:szCs w:val="21"/>
          <w:shd w:fill="FCE7C5" w:color="auto" w:val="clear"/>
        </w:rPr>
        <w:t xml:space="preserve">[B/C]</w:t>
      </w:r>
      <w:r>
        <w:rPr>
          <w:rFonts w:ascii="Seaford" w:cs="Seaford" w:eastAsia="Seaford" w:hAnsi="Seaford"/>
          <w:color w:val="2E3338"/>
          <w:sz w:val="21"/>
          <w:szCs w:val="21"/>
        </w:rPr>
        <w:t xml:space="preserve"> landscape buffer along all property lines adjacent to existing residential zoning or residential uses”</w:t>
      </w:r>
    </w:p>
    <w:p>
      <w:pPr>
        <w:pStyle w:val="ListParagraph"/>
        <w:numPr>
          <w:ilvl w:val="0"/>
          <w:numId w:val="6"/>
        </w:numPr>
        <w:spacing w:after="100" w:line="276"/>
      </w:pPr>
      <w:r>
        <w:rPr>
          <w:rFonts w:ascii="Seaford" w:cs="Seaford" w:eastAsia="Seaford" w:hAnsi="Seaford"/>
          <w:color w:val="2E3338"/>
          <w:sz w:val="21"/>
          <w:szCs w:val="21"/>
        </w:rPr>
        <w:t xml:space="preserve">Buffers shall be installed in the first phase of construction. Where phased development is proposed, perimeter buffers adjacent to public rights-of-way and residential uses shall be established prior to any site disturbance activity.</w:t>
      </w:r>
    </w:p>
    <w:p>
      <w:pPr>
        <w:pStyle w:val="ListParagraph"/>
        <w:numPr>
          <w:ilvl w:val="0"/>
          <w:numId w:val="6"/>
        </w:numPr>
        <w:spacing w:after="100" w:line="276"/>
      </w:pPr>
      <w:r>
        <w:rPr>
          <w:rFonts w:ascii="Seaford" w:cs="Seaford" w:eastAsia="Seaford" w:hAnsi="Seaford"/>
          <w:color w:val="2E3338"/>
          <w:sz w:val="21"/>
          <w:szCs w:val="21"/>
        </w:rPr>
        <w:t xml:space="preserve">Landscaping within required buffers shall meet the following standards: </w:t>
      </w:r>
      <w:r>
        <w:rPr>
          <w:rFonts w:ascii="Seaford" w:cs="Seaford" w:eastAsia="Seaford" w:hAnsi="Seaford"/>
          <w:b/>
          <w:bCs/>
          <w:color w:val="2E3338"/>
          <w:sz w:val="21"/>
          <w:szCs w:val="21"/>
        </w:rPr>
        <w:t xml:space="preserve">Canopy trees.</w:t>
      </w:r>
      <w:r>
        <w:rPr>
          <w:rFonts w:ascii="Seaford" w:cs="Seaford" w:eastAsia="Seaford" w:hAnsi="Seaford"/>
          <w:color w:val="2E3338"/>
          <w:sz w:val="21"/>
          <w:szCs w:val="21"/>
        </w:rPr>
        <w:t xml:space="preserve"> Provide three (3) canopy trees per one hundred (100) linear feet of buffer, spaced no more than thirty (30) feet apart. Each canopy tree shall reach a mature height of at least sixty (60) feet. </w:t>
      </w:r>
      <w:r>
        <w:rPr>
          <w:rFonts w:ascii="Seaford" w:cs="Seaford" w:eastAsia="Seaford" w:hAnsi="Seaford"/>
          <w:b/>
          <w:bCs/>
          <w:color w:val="2E3338"/>
          <w:sz w:val="21"/>
          <w:szCs w:val="21"/>
        </w:rPr>
        <w:t xml:space="preserve">Evergreen understory trees.</w:t>
      </w:r>
      <w:r>
        <w:rPr>
          <w:rFonts w:ascii="Seaford" w:cs="Seaford" w:eastAsia="Seaford" w:hAnsi="Seaford"/>
          <w:color w:val="2E3338"/>
          <w:sz w:val="21"/>
          <w:szCs w:val="21"/>
        </w:rPr>
        <w:t xml:space="preserve"> Provide fourteen (14) evergreen understory trees per one hundred (100) linear feet of buffer, spaced no more than ten (10) feet apart. Each tree shall reach a mature height of at least eighteen (18) feet. </w:t>
      </w:r>
      <w:r>
        <w:rPr>
          <w:rFonts w:ascii="Seaford" w:cs="Seaford" w:eastAsia="Seaford" w:hAnsi="Seaford"/>
          <w:b/>
          <w:bCs/>
          <w:color w:val="2E3338"/>
          <w:sz w:val="21"/>
          <w:szCs w:val="21"/>
        </w:rPr>
        <w:t xml:space="preserve">Shrubs.</w:t>
      </w:r>
      <w:r>
        <w:rPr>
          <w:rFonts w:ascii="Seaford" w:cs="Seaford" w:eastAsia="Seaford" w:hAnsi="Seaford"/>
          <w:color w:val="2E3338"/>
          <w:sz w:val="21"/>
          <w:szCs w:val="21"/>
        </w:rPr>
        <w:t xml:space="preserve"> Provide twelve (12) shrubs per one hundred (100) linear feet of buffer. Shrubs shall be planted adjacent to the property line, outside the tree line, and shall reach a mature height of at least three (3) feet. </w:t>
      </w:r>
      <w:r>
        <w:rPr>
          <w:rFonts w:ascii="Seaford" w:cs="Seaford" w:eastAsia="Seaford" w:hAnsi="Seaford"/>
          <w:b/>
          <w:bCs/>
          <w:color w:val="2E3338"/>
          <w:sz w:val="21"/>
          <w:szCs w:val="21"/>
        </w:rPr>
        <w:t xml:space="preserve">Security fence screening.</w:t>
      </w:r>
      <w:r>
        <w:rPr>
          <w:rFonts w:ascii="Seaford" w:cs="Seaford" w:eastAsia="Seaford" w:hAnsi="Seaford"/>
          <w:color w:val="2E3338"/>
          <w:sz w:val="21"/>
          <w:szCs w:val="21"/>
        </w:rPr>
        <w:t xml:space="preserve"> Where a fence includes barbed wire, concertina wire, razor wire, or similar security features, a continuous row of evergreen landscaping may replace the evergreen understory tree requirement. The landscaping shall consist entirely of evergreen species, be planted within fifteen (15) feet of the fence on the side facing adjacent properties, and be designed to reach at least the height of the fence within five (5) years after installation.</w:t>
      </w:r>
    </w:p>
    <w:p>
      <w:pPr>
        <w:pStyle w:val="Heading2"/>
        <w:keepNext/>
        <w:pBdr>
          <w:left w:val="single" w:color="9FD75C" w:sz="24" w:space="8"/>
        </w:pBdr>
        <w:spacing w:after="120" w:before="280"/>
      </w:pPr>
      <w:bookmarkStart w:id="922" w:name="_TocCP22"/>
      <w:r>
        <w:rPr>
          <w:rFonts w:ascii="Seaford" w:cs="Seaford" w:eastAsia="Seaford" w:hAnsi="Seaford"/>
          <w:b/>
          <w:bCs/>
          <w:color w:val="49497F"/>
          <w:sz w:val="28"/>
          <w:szCs w:val="28"/>
        </w:rPr>
        <w:t xml:space="preserve">5.4  Noise Standards</w:t>
      </w:r>
      <w:bookmarkEnd w:id="922"/>
    </w:p>
    <w:p>
      <w:pPr>
        <w:keepNext/>
        <w:spacing w:after="100" w:before="200"/>
      </w:pPr>
      <w:r>
        <w:rPr>
          <w:rFonts w:ascii="Seaford" w:cs="Seaford" w:eastAsia="Seaford" w:hAnsi="Seaford"/>
          <w:b/>
          <w:bCs/>
          <w:color w:val="49497F"/>
          <w:sz w:val="23"/>
          <w:szCs w:val="23"/>
        </w:rPr>
        <w:t xml:space="preserve">5.4.1  Performance Standards</w:t>
      </w:r>
    </w:p>
    <w:p>
      <w:pPr>
        <w:spacing w:after="140" w:before="0" w:line="276"/>
      </w:pPr>
      <w:r>
        <w:rPr>
          <w:rFonts w:ascii="Seaford" w:cs="Seaford" w:eastAsia="Seaford" w:hAnsi="Seaford"/>
          <w:color w:val="2E3338"/>
          <w:sz w:val="21"/>
          <w:szCs w:val="21"/>
        </w:rPr>
        <w:t xml:space="preserve">No data center shall cause sound levels to exceed the following limits, measured both (a) at the property line and (b) at the receiving property identified in the table below, by a qualified acoustic professional. These standards apply uniformly regardless of the cooling technology employed (air-cooled, liquid-cooled, immersion, or other), since all rejected-heat systems rely on some form of air movement and remain subject to the same standards.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300"/>
        <w:gridCol w:w="3174"/>
        <w:gridCol w:w="3174"/>
      </w:tblGrid>
      <w:tr>
        <w:trPr>
          <w:cantSplit/>
          <w:tblHeader/>
        </w:trPr>
        <w:tc>
          <w:tcPr>
            <w:tcW w:type="dxa" w:w="33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Receiving Property</w:t>
            </w:r>
          </w:p>
        </w:tc>
        <w:tc>
          <w:tcPr>
            <w:tcW w:type="dxa" w:w="3174"/>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Max dBA (A-weighted)</w:t>
            </w:r>
          </w:p>
        </w:tc>
        <w:tc>
          <w:tcPr>
            <w:tcW w:type="dxa" w:w="3174"/>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Max dBC (C-weighted)</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Sensitive Receptor</w:t>
            </w:r>
          </w:p>
        </w:tc>
        <w:tc>
          <w:tcPr>
            <w:tcW w:type="dxa" w:w="3174"/>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[Pending - see Advisory Note below]</w:t>
            </w:r>
          </w:p>
        </w:tc>
        <w:tc>
          <w:tcPr>
            <w:tcW w:type="dxa" w:w="3174"/>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[Pending - see Advisory Note below]</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Residential use or district</w:t>
            </w:r>
          </w:p>
        </w:tc>
        <w:tc>
          <w:tcPr>
            <w:tcW w:type="dxa" w:w="3174"/>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[Pending - see Advisory Note below]</w:t>
            </w:r>
          </w:p>
        </w:tc>
        <w:tc>
          <w:tcPr>
            <w:tcW w:type="dxa" w:w="3174"/>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65 dBC</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Non-residential use or district</w:t>
            </w:r>
          </w:p>
        </w:tc>
        <w:tc>
          <w:tcPr>
            <w:tcW w:type="dxa" w:w="3174"/>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[Pending - see Advisory Note below]</w:t>
            </w:r>
          </w:p>
        </w:tc>
        <w:tc>
          <w:tcPr>
            <w:tcW w:type="dxa" w:w="3174"/>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[Pending - see Advisory Note below]</w:t>
            </w:r>
          </w:p>
        </w:tc>
      </w:tr>
    </w:tbl>
    <w:p>
      <w:pPr>
        <w:spacing w:after="160" w:before="0"/>
      </w:pPr>
    </w:p>
    <w:p>
      <w:pPr>
        <w:spacing w:after="140" w:before="0" w:line="276"/>
      </w:pPr>
      <w:r>
        <w:rPr>
          <w:rFonts w:ascii="Seaford" w:cs="Seaford" w:eastAsia="Seaford" w:hAnsi="Seaford"/>
          <w:color w:val="2E3338"/>
          <w:sz w:val="21"/>
          <w:szCs w:val="21"/>
        </w:rPr>
        <w:t xml:space="preserve">The standards of this Section 5.4.1 shall be structured by time period (day, evening, and night), consistent with standard noise-ordinance practice. The specific day/evening/night numeric limits are pending confirmation with the Town’s acoustic consultant and are not yet set in this draft; see the Advisory Note at the end of Section 5.4. For a facility that operates continuously but does not maintain a steady-state load (for example, an AI or high-performance-computing facility with fluctuating compute demand), the facility shall be designed to meet the applicable nighttime limit at all hours of operation, since load-driven fluctuation can otherwise cause noise emissions to exceed nighttime limits even where daytime average levels are compliant.</w:t>
      </w:r>
    </w:p>
    <w:p>
      <w:pPr>
        <w:spacing w:after="140" w:before="0" w:line="276"/>
      </w:pPr>
      <w:r>
        <w:rPr>
          <w:rFonts w:ascii="Seaford" w:cs="Seaford" w:eastAsia="Seaford" w:hAnsi="Seaford"/>
          <w:color w:val="2E3338"/>
          <w:sz w:val="21"/>
          <w:szCs w:val="21"/>
        </w:rPr>
        <w:t xml:space="preserve">In addition to the dBA and dBC standards above, the applicant shall submit manufacturer octave-band (dBZ) data for major noise-generating equipment as supporting documentation within the noise study required under Section 5.4.2. Octave-band/dBZ data shall inform the tonal-noise analysis required below and equipment-selection review, but is not, standing alone, a compliance metric under this Section.</w:t>
      </w:r>
    </w:p>
    <w:p>
      <w:pPr>
        <w:spacing w:after="140" w:before="0" w:line="276"/>
      </w:pPr>
      <w:r>
        <w:rPr>
          <w:rFonts w:ascii="Seaford" w:cs="Seaford" w:eastAsia="Seaford" w:hAnsi="Seaford"/>
          <w:b/>
          <w:bCs/>
          <w:color w:val="2E3338"/>
          <w:sz w:val="21"/>
          <w:szCs w:val="21"/>
        </w:rPr>
        <w:t xml:space="preserve">Tonal Noise.</w:t>
      </w:r>
      <w:r>
        <w:rPr>
          <w:rFonts w:ascii="Seaford" w:cs="Seaford" w:eastAsia="Seaford" w:hAnsi="Seaford"/>
          <w:color w:val="2E3338"/>
          <w:sz w:val="21"/>
          <w:szCs w:val="21"/>
        </w:rPr>
        <w:t xml:space="preserve"> The applicant shall evaluate tonal noise (for example, electrical hum) using octave-band analysis consistent with accepted ANSI tonality methodology. Because tonal characteristics may not be fully known at the time of pre-construction modeling, tonal verification shall be performed as part of the post-construction noise study required under Section 5.4.2.B. Where a steady tonal component is confirmed, a tonal adjustment (penalty) shall be applied to the measured noise level, and the adjusted level shall be applied retroactively to determine compliance with the applicable limit under Section 5.4.1.</w:t>
      </w:r>
    </w:p>
    <w:p>
      <w:pPr>
        <w:keepNext/>
        <w:spacing w:after="100" w:before="200"/>
      </w:pPr>
      <w:r>
        <w:rPr>
          <w:rFonts w:ascii="Seaford" w:cs="Seaford" w:eastAsia="Seaford" w:hAnsi="Seaford"/>
          <w:b/>
          <w:bCs/>
          <w:color w:val="49497F"/>
          <w:sz w:val="23"/>
          <w:szCs w:val="23"/>
        </w:rPr>
        <w:t xml:space="preserve">5.4.2  Noise Studies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Communities should review these requirements alongside the noise standards applied to other industrial or similarly situated uses. Where data centers are subject to additional study or modeling requirements, communities should consider whether those requirements are supported by the characteristics of the use, including continuous mechanical equipment, cooling systems, and backup power generation, and are applied consistently with similarly situated uses.</w:t>
            </w:r>
          </w:p>
          <w:p>
            <w:pPr>
              <w:spacing w:after="100" w:before="0" w:line="276"/>
            </w:pPr>
            <w:r>
              <w:rPr>
                <w:rFonts w:ascii="Seaford" w:cs="Seaford" w:eastAsia="Seaford" w:hAnsi="Seaford"/>
                <w:color w:val="2E3338"/>
                <w:sz w:val="19"/>
                <w:szCs w:val="19"/>
              </w:rPr>
              <w:t xml:space="preserve">Communities should review each standard in this model ordinance with their local government attorney before adoption to ensure it falls within the scope of local authority under N.C.G.S. Chapter 160D, including §§ 160D-701 and 160D-702, and other applicable law. Standards should address legitimate land use impacts and be applied consistently with applicable zoning and development regulations.</w:t>
            </w:r>
          </w:p>
        </w:tc>
      </w:tr>
    </w:tbl>
    <w:p>
      <w:pPr>
        <w:spacing w:after="200" w:before="0"/>
      </w:pPr>
    </w:p>
    <w:p>
      <w:pPr>
        <w:pStyle w:val="ListParagraph"/>
        <w:numPr>
          <w:ilvl w:val="0"/>
          <w:numId w:val="7"/>
        </w:numPr>
        <w:spacing w:after="100" w:line="276"/>
      </w:pPr>
      <w:r>
        <w:rPr>
          <w:rFonts w:ascii="Seaford" w:cs="Seaford" w:eastAsia="Seaford" w:hAnsi="Seaford"/>
          <w:color w:val="2E3338"/>
          <w:sz w:val="21"/>
          <w:szCs w:val="21"/>
        </w:rPr>
        <w:t xml:space="preserve">A pre-construction noise study shall be submitted with the development application. The study shall be prepared by an INCE Board Certified Engineer and shall use ISO 9613 sound propagation modeling the required methodology under this Section, to the exclusion of alternative modeling methodologies to evaluate all exterior mechanical equipment (including but not limited to cooling towers, air-cooled chillers, air handling units, backup generators, and/or any onsite power generation equipment) and confirm compliance with Section 5.4.1. The model shall account for the total number of generators and other major noise-generating units proposed on site, and shall separately isolate and report the noise contribution (“delta”) attributable to backup power generation equipment operating at full load.</w:t>
      </w:r>
    </w:p>
    <w:p>
      <w:pPr>
        <w:pStyle w:val="ListParagraph"/>
        <w:numPr>
          <w:ilvl w:val="0"/>
          <w:numId w:val="7"/>
        </w:numPr>
        <w:spacing w:after="100" w:line="276"/>
      </w:pPr>
      <w:r>
        <w:rPr>
          <w:rFonts w:ascii="Seaford" w:cs="Seaford" w:eastAsia="Seaford" w:hAnsi="Seaford"/>
          <w:color w:val="2E3338"/>
          <w:sz w:val="21"/>
          <w:szCs w:val="21"/>
        </w:rPr>
        <w:t xml:space="preserve">A post-construction noise study, including the same elements as section 5.4.2A, shall be conducted prior to issuance of a certificate of occupancy. If any standards are exceeded, the applicant shall implement corrective measures prior to occupancy.</w:t>
      </w:r>
    </w:p>
    <w:p>
      <w:pPr>
        <w:pStyle w:val="ListParagraph"/>
        <w:numPr>
          <w:ilvl w:val="0"/>
          <w:numId w:val="7"/>
        </w:numPr>
        <w:spacing w:after="100" w:line="276"/>
      </w:pPr>
      <w:r>
        <w:rPr>
          <w:rFonts w:ascii="Seaford" w:cs="Seaford" w:eastAsia="Seaford" w:hAnsi="Seaford"/>
          <w:color w:val="2E3338"/>
          <w:sz w:val="21"/>
          <w:szCs w:val="21"/>
        </w:rPr>
        <w:t xml:space="preserve">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require a third-party peer review of any noise study, at the applicant’s expense.</w:t>
      </w:r>
    </w:p>
    <w:p>
      <w:pPr>
        <w:pStyle w:val="ListParagraph"/>
        <w:numPr>
          <w:ilvl w:val="0"/>
          <w:numId w:val="7"/>
        </w:numPr>
        <w:spacing w:after="100" w:line="276"/>
      </w:pPr>
      <w:r>
        <w:rPr>
          <w:rFonts w:ascii="Seaford" w:cs="Seaford" w:eastAsia="Seaford" w:hAnsi="Seaford"/>
          <w:color w:val="2E3338"/>
          <w:sz w:val="21"/>
          <w:szCs w:val="21"/>
        </w:rPr>
        <w:t xml:space="preserve">As-built noise studies may also be required by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upon complaint or at any time during operation.</w:t>
      </w:r>
    </w:p>
    <w:p>
      <w:pPr>
        <w:pStyle w:val="ListParagraph"/>
        <w:numPr>
          <w:ilvl w:val="0"/>
          <w:numId w:val="7"/>
        </w:numPr>
        <w:spacing w:after="100" w:line="276"/>
      </w:pPr>
      <w:r>
        <w:rPr>
          <w:rFonts w:ascii="Seaford" w:cs="Seaford" w:eastAsia="Seaford" w:hAnsi="Seaford"/>
          <w:b/>
          <w:bCs/>
          <w:color w:val="2E3338"/>
          <w:sz w:val="21"/>
          <w:szCs w:val="21"/>
        </w:rPr>
        <w:t xml:space="preserve">Tier 2 (Large) and Tier 3 (Hyperscale) - Cumulative Noise Analysis:</w:t>
      </w:r>
      <w:r>
        <w:rPr>
          <w:rFonts w:ascii="Seaford" w:cs="Seaford" w:eastAsia="Seaford" w:hAnsi="Seaford"/>
          <w:color w:val="2E3338"/>
          <w:sz w:val="21"/>
          <w:szCs w:val="21"/>
        </w:rPr>
        <w:t xml:space="preserve"> In addition to the ISO 9613 modeling required under Section 5.4.2.A for all tiers, the applicant shall evaluate cumulative noise from all mechanical equipment and emergency generators operating simultaneously at full load, at all applicable receptors identified in the report.</w:t>
      </w:r>
    </w:p>
    <w:p>
      <w:pPr>
        <w:pStyle w:val="ListParagraph"/>
        <w:numPr>
          <w:ilvl w:val="0"/>
          <w:numId w:val="7"/>
        </w:numPr>
        <w:spacing w:after="100" w:line="276"/>
      </w:pPr>
      <w:r>
        <w:rPr>
          <w:rFonts w:ascii="Seaford" w:cs="Seaford" w:eastAsia="Seaford" w:hAnsi="Seaford"/>
          <w:b/>
          <w:bCs/>
          <w:color w:val="2E3338"/>
          <w:sz w:val="21"/>
          <w:szCs w:val="21"/>
        </w:rPr>
        <w:t xml:space="preserve">Tier 3 (Hyperscale) - Ongoing Compliance Monitoring:</w:t>
      </w:r>
      <w:r>
        <w:rPr>
          <w:rFonts w:ascii="Seaford" w:cs="Seaford" w:eastAsia="Seaford" w:hAnsi="Seaford"/>
          <w:color w:val="2E3338"/>
          <w:sz w:val="21"/>
          <w:szCs w:val="21"/>
        </w:rPr>
        <w:t xml:space="preserve"> The operator shall implement one of the following ongoing compliance-monitoring approaches, subject to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approval at site plan review: (i) continuous noise monitoring, with permanent monitoring equipment installed and maintained at locations approved by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and data made available to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upon request; or (ii) periodic noise monitoring conducted no less than annually by a qualified acoustic professional, with results submitted to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Under either approach, the operator shall implement additional noise mitigation measures where monitoring identifies an exceedance of the applicable standards.</w:t>
      </w:r>
    </w:p>
    <w:p>
      <w:pPr>
        <w:keepNext/>
        <w:spacing w:after="100" w:before="200"/>
      </w:pPr>
      <w:r>
        <w:rPr>
          <w:rFonts w:ascii="Seaford" w:cs="Seaford" w:eastAsia="Seaford" w:hAnsi="Seaford"/>
          <w:b/>
          <w:bCs/>
          <w:color w:val="49497F"/>
          <w:sz w:val="23"/>
          <w:szCs w:val="23"/>
        </w:rPr>
        <w:t xml:space="preserve">5.4.3  Equipment, Placement and Shielding</w:t>
      </w:r>
    </w:p>
    <w:p>
      <w:pPr>
        <w:pStyle w:val="ListParagraph"/>
        <w:numPr>
          <w:ilvl w:val="0"/>
          <w:numId w:val="8"/>
        </w:numPr>
        <w:spacing w:after="100" w:line="276"/>
      </w:pPr>
      <w:r>
        <w:rPr>
          <w:rFonts w:ascii="Seaford" w:cs="Seaford" w:eastAsia="Seaford" w:hAnsi="Seaford"/>
          <w:color w:val="2E3338"/>
          <w:sz w:val="21"/>
          <w:szCs w:val="21"/>
        </w:rPr>
        <w:t xml:space="preserve">All sound-generating mechanical equipment shall be setback from property lines by no less than the distances required for principal structures under Section 5.2.</w:t>
      </w:r>
    </w:p>
    <w:p>
      <w:pPr>
        <w:pStyle w:val="ListParagraph"/>
        <w:numPr>
          <w:ilvl w:val="0"/>
          <w:numId w:val="8"/>
        </w:numPr>
        <w:spacing w:after="100" w:line="276"/>
      </w:pPr>
      <w:r>
        <w:rPr>
          <w:rFonts w:ascii="Seaford" w:cs="Seaford" w:eastAsia="Seaford" w:hAnsi="Seaford"/>
          <w:color w:val="2E3338"/>
          <w:sz w:val="21"/>
          <w:szCs w:val="21"/>
        </w:rPr>
        <w:t xml:space="preserve">To the maximum extent practicable, sound-generating equipment shall be located on the interior of the site, positioned behind principal structures to provide natural sound shielding.</w:t>
      </w:r>
    </w:p>
    <w:p>
      <w:pPr>
        <w:pStyle w:val="ListParagraph"/>
        <w:numPr>
          <w:ilvl w:val="0"/>
          <w:numId w:val="8"/>
        </w:numPr>
        <w:spacing w:after="100" w:line="276"/>
      </w:pPr>
      <w:r>
        <w:rPr>
          <w:rFonts w:ascii="Seaford" w:cs="Seaford" w:eastAsia="Seaford" w:hAnsi="Seaford"/>
          <w:color w:val="2E3338"/>
          <w:sz w:val="21"/>
          <w:szCs w:val="21"/>
        </w:rPr>
        <w:t xml:space="preserve">Parapet walls shall screen all rooftop mechanical equipment. Parapet wall height shall be at least as tall as rooftop mechanical equipment being screened; however, the combined height of the building and parapet wall shall not exceed the maximum building height established in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UDO Section </w:t>
      </w:r>
      <w:r>
        <w:rPr>
          <w:rFonts w:ascii="Seaford" w:cs="Seaford" w:eastAsia="Seaford" w:hAnsi="Seaford"/>
          <w:color w:val="2E3338"/>
          <w:sz w:val="21"/>
          <w:szCs w:val="21"/>
          <w:shd w:fill="FCE7C5" w:color="auto" w:val="clear"/>
        </w:rPr>
        <w:t xml:space="preserve">[ ]</w:t>
      </w:r>
      <w:r>
        <w:rPr>
          <w:rFonts w:ascii="Seaford" w:cs="Seaford" w:eastAsia="Seaford" w:hAnsi="Seaford"/>
          <w:color w:val="2E3338"/>
          <w:sz w:val="21"/>
          <w:szCs w:val="21"/>
        </w:rPr>
        <w:t xml:space="preserve">. Where the inclusion of a parapet wall would cause a building to exceed the maximum permitted building height, the height of the principal structure shall be reduced accordingly.</w:t>
      </w:r>
    </w:p>
    <w:p>
      <w:pPr>
        <w:pStyle w:val="ListParagraph"/>
        <w:numPr>
          <w:ilvl w:val="0"/>
          <w:numId w:val="8"/>
        </w:numPr>
        <w:spacing w:after="100" w:line="276"/>
      </w:pPr>
      <w:r>
        <w:rPr>
          <w:rFonts w:ascii="Seaford" w:cs="Seaford" w:eastAsia="Seaford" w:hAnsi="Seaford"/>
          <w:b/>
          <w:bCs/>
          <w:color w:val="2E3338"/>
          <w:sz w:val="21"/>
          <w:szCs w:val="21"/>
        </w:rPr>
        <w:t xml:space="preserve">Tier 2 (Large) and Tier 3 (Hyperscale) Enhanced Screening:</w:t>
      </w:r>
      <w:r>
        <w:rPr>
          <w:rFonts w:ascii="Seaford" w:cs="Seaford" w:eastAsia="Seaford" w:hAnsi="Seaford"/>
          <w:color w:val="2E3338"/>
          <w:sz w:val="21"/>
          <w:szCs w:val="21"/>
        </w:rPr>
        <w:t xml:space="preserve"> Rooftop and ground-mounted mechanical equipment shall be screened with enhanced materials and/or landscaping beyond the base requirements of this Section, as determined through site plan review, to further reduce visibility from public rights-of-way and adjacent residential uses.</w:t>
      </w:r>
    </w:p>
    <w:p>
      <w:pPr>
        <w:keepNext/>
        <w:spacing w:after="100" w:before="200"/>
      </w:pPr>
      <w:r>
        <w:rPr>
          <w:rFonts w:ascii="Seaford" w:cs="Seaford" w:eastAsia="Seaford" w:hAnsi="Seaford"/>
          <w:b/>
          <w:bCs/>
          <w:color w:val="49497F"/>
          <w:sz w:val="23"/>
          <w:szCs w:val="23"/>
        </w:rPr>
        <w:t xml:space="preserve">5.4.4  Generator Testing and Maintenance</w:t>
      </w:r>
    </w:p>
    <w:p>
      <w:pPr>
        <w:pStyle w:val="ListParagraph"/>
        <w:numPr>
          <w:ilvl w:val="0"/>
          <w:numId w:val="9"/>
        </w:numPr>
        <w:spacing w:after="100" w:line="276"/>
      </w:pPr>
      <w:r>
        <w:rPr>
          <w:rFonts w:ascii="Seaford" w:cs="Seaford" w:eastAsia="Seaford" w:hAnsi="Seaford"/>
          <w:color w:val="2E3338"/>
          <w:sz w:val="21"/>
          <w:szCs w:val="21"/>
        </w:rPr>
        <w:t xml:space="preserve">Generator testing and scheduled maintenance shall be limited to the hours of </w:t>
      </w:r>
      <w:r>
        <w:rPr>
          <w:rFonts w:ascii="Seaford" w:cs="Seaford" w:eastAsia="Seaford" w:hAnsi="Seaford"/>
          <w:color w:val="2E3338"/>
          <w:sz w:val="21"/>
          <w:szCs w:val="21"/>
          <w:shd w:fill="FCE7C5" w:color="auto" w:val="clear"/>
        </w:rPr>
        <w:t xml:space="preserve">[10:00 a.m. to 4:00 p.m.]</w:t>
      </w:r>
      <w:r>
        <w:rPr>
          <w:rFonts w:ascii="Seaford" w:cs="Seaford" w:eastAsia="Seaford" w:hAnsi="Seaford"/>
          <w:color w:val="2E3338"/>
          <w:sz w:val="21"/>
          <w:szCs w:val="21"/>
        </w:rPr>
        <w:t xml:space="preserve">, Monday through Friday.</w:t>
      </w:r>
    </w:p>
    <w:p>
      <w:pPr>
        <w:pStyle w:val="ListParagraph"/>
        <w:numPr>
          <w:ilvl w:val="0"/>
          <w:numId w:val="9"/>
        </w:numPr>
        <w:spacing w:after="100" w:line="276"/>
      </w:pPr>
      <w:r>
        <w:rPr>
          <w:rFonts w:ascii="Seaford" w:cs="Seaford" w:eastAsia="Seaford" w:hAnsi="Seaford"/>
          <w:color w:val="2E3338"/>
          <w:sz w:val="21"/>
          <w:szCs w:val="21"/>
        </w:rPr>
        <w:t xml:space="preserve">Emergency generator operation during power outages is exempt from these time restrictions.</w:t>
      </w:r>
    </w:p>
    <w:p>
      <w:pPr>
        <w:pStyle w:val="ListParagraph"/>
        <w:numPr>
          <w:ilvl w:val="0"/>
          <w:numId w:val="9"/>
        </w:numPr>
        <w:spacing w:after="100" w:line="276"/>
      </w:pPr>
      <w:r>
        <w:rPr>
          <w:rFonts w:ascii="Seaford" w:cs="Seaford" w:eastAsia="Seaford" w:hAnsi="Seaford"/>
          <w:color w:val="2E3338"/>
          <w:sz w:val="21"/>
          <w:szCs w:val="21"/>
        </w:rPr>
        <w:t xml:space="preserve">The applicant shall maintain a log of all generator operations (testing, maintenance, and emergency) and make such records available to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upon request.</w:t>
      </w:r>
    </w:p>
    <w:p>
      <w:pPr>
        <w:pStyle w:val="ListParagraph"/>
        <w:numPr>
          <w:ilvl w:val="0"/>
          <w:numId w:val="9"/>
        </w:numPr>
        <w:spacing w:after="100" w:line="276"/>
      </w:pPr>
      <w:r>
        <w:rPr>
          <w:rFonts w:ascii="Seaford" w:cs="Seaford" w:eastAsia="Seaford" w:hAnsi="Seaford"/>
          <w:b/>
          <w:bCs/>
          <w:color w:val="2E3338"/>
          <w:sz w:val="21"/>
          <w:szCs w:val="21"/>
        </w:rPr>
        <w:t xml:space="preserve">Tier 2 (Large) and Tier 3 (Hyperscale) Emergency Generator and Fuel-Storage Plan:</w:t>
      </w:r>
      <w:r>
        <w:rPr>
          <w:rFonts w:ascii="Seaford" w:cs="Seaford" w:eastAsia="Seaford" w:hAnsi="Seaford"/>
          <w:color w:val="2E3338"/>
          <w:sz w:val="21"/>
          <w:szCs w:val="21"/>
        </w:rPr>
        <w:t xml:space="preserve"> The applicant shall submit an emergency generator and fuel-storage plan identifying generator capacity, run hours, fuel type and storage volume, spill containment, and refueling logistics.</w:t>
      </w:r>
    </w:p>
    <w:p>
      <w:pPr>
        <w:pStyle w:val="ListParagraph"/>
        <w:numPr>
          <w:ilvl w:val="0"/>
          <w:numId w:val="9"/>
        </w:numPr>
        <w:spacing w:after="100" w:line="276"/>
      </w:pPr>
      <w:r>
        <w:rPr>
          <w:rFonts w:ascii="Seaford" w:cs="Seaford" w:eastAsia="Seaford" w:hAnsi="Seaford"/>
          <w:b/>
          <w:bCs/>
          <w:color w:val="2E3338"/>
          <w:sz w:val="21"/>
          <w:szCs w:val="21"/>
        </w:rPr>
        <w:t xml:space="preserve">Tier 3 (Hyperscale) Enhanced Operational Restrictions:</w:t>
      </w:r>
      <w:r>
        <w:rPr>
          <w:rFonts w:ascii="Seaford" w:cs="Seaford" w:eastAsia="Seaford" w:hAnsi="Seaford"/>
          <w:color w:val="2E3338"/>
          <w:sz w:val="21"/>
          <w:szCs w:val="21"/>
        </w:rPr>
        <w:t xml:space="preserv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impose additional restrictions on generator testing frequency, duration, and permissible sound levels beyond the base standards in this Section 5.4, based on the scale of on-site generation capacity and proximity to sensitive receptors.</w:t>
      </w:r>
    </w:p>
    <w:p>
      <w:pPr>
        <w:pStyle w:val="Heading2"/>
        <w:keepNext/>
        <w:pBdr>
          <w:left w:val="single" w:color="9FD75C" w:sz="24" w:space="8"/>
        </w:pBdr>
        <w:spacing w:after="120" w:before="280"/>
      </w:pPr>
      <w:bookmarkStart w:id="923" w:name="_TocCP23"/>
      <w:r>
        <w:rPr>
          <w:rFonts w:ascii="Seaford" w:cs="Seaford" w:eastAsia="Seaford" w:hAnsi="Seaford"/>
          <w:b/>
          <w:bCs/>
          <w:color w:val="49497F"/>
          <w:sz w:val="28"/>
          <w:szCs w:val="28"/>
        </w:rPr>
        <w:t xml:space="preserve">5.5  Energy Consumption</w:t>
      </w:r>
      <w:bookmarkEnd w:id="923"/>
    </w:p>
    <w:p>
      <w:pPr>
        <w:pStyle w:val="ListParagraph"/>
        <w:numPr>
          <w:ilvl w:val="0"/>
          <w:numId w:val="10"/>
        </w:numPr>
        <w:spacing w:after="100" w:line="276"/>
      </w:pPr>
      <w:r>
        <w:rPr>
          <w:rFonts w:ascii="Seaford" w:cs="Seaford" w:eastAsia="Seaford" w:hAnsi="Seaford"/>
          <w:color w:val="2E3338"/>
          <w:sz w:val="21"/>
          <w:szCs w:val="21"/>
        </w:rPr>
        <w:t xml:space="preserve">Prior to issuance of a Certificate of Occupancy, the applicant shall provide written verification from the applicable electric utility confirming that adequate supply capacity is available and that the proposed connection will not adversely impact grid reliability for other customers in the service area.</w:t>
      </w:r>
    </w:p>
    <w:p>
      <w:pPr>
        <w:pStyle w:val="ListParagraph"/>
        <w:numPr>
          <w:ilvl w:val="0"/>
          <w:numId w:val="10"/>
        </w:numPr>
        <w:spacing w:after="100" w:line="276"/>
      </w:pPr>
      <w:r>
        <w:rPr>
          <w:rFonts w:ascii="Seaford" w:cs="Seaford" w:eastAsia="Seaford" w:hAnsi="Seaford"/>
          <w:color w:val="2E3338"/>
          <w:sz w:val="21"/>
          <w:szCs w:val="21"/>
        </w:rPr>
        <w:t xml:space="preserve">An electrical load study shall be submitted with the development application, detailing the anticipated diversified load and peak demand for both summer and winter seasons.</w:t>
      </w:r>
    </w:p>
    <w:p>
      <w:pPr>
        <w:pStyle w:val="ListParagraph"/>
        <w:numPr>
          <w:ilvl w:val="0"/>
          <w:numId w:val="10"/>
        </w:numPr>
        <w:spacing w:after="100" w:line="276"/>
      </w:pPr>
      <w:r>
        <w:rPr>
          <w:rFonts w:ascii="Seaford" w:cs="Seaford" w:eastAsia="Seaford" w:hAnsi="Seaford"/>
          <w:color w:val="2E3338"/>
          <w:sz w:val="21"/>
          <w:szCs w:val="21"/>
        </w:rPr>
        <w:t xml:space="preserve">Where a data center proposes construction of an on-site electrical substation, the substation shall comply with Section 5.7 of this Ordinance.</w:t>
      </w:r>
    </w:p>
    <w:p>
      <w:pPr>
        <w:pStyle w:val="Heading2"/>
        <w:keepNext/>
        <w:pBdr>
          <w:left w:val="single" w:color="9FD75C" w:sz="24" w:space="8"/>
        </w:pBdr>
        <w:spacing w:after="120" w:before="280"/>
      </w:pPr>
      <w:bookmarkStart w:id="924" w:name="_TocCP24"/>
      <w:r>
        <w:rPr>
          <w:rFonts w:ascii="Seaford" w:cs="Seaford" w:eastAsia="Seaford" w:hAnsi="Seaford"/>
          <w:b/>
          <w:bCs/>
          <w:color w:val="49497F"/>
          <w:sz w:val="28"/>
          <w:szCs w:val="28"/>
        </w:rPr>
        <w:t xml:space="preserve">5.6  Water and Wastewater</w:t>
      </w:r>
      <w:bookmarkEnd w:id="924"/>
    </w:p>
    <w:p>
      <w:pPr>
        <w:keepNext/>
        <w:pBdr>
          <w:left w:val="single" w:color="64DAE6" w:sz="36" w:space="6"/>
        </w:pBdr>
        <w:shd w:fill="EEEEF5" w:color="auto" w:val="clear"/>
        <w:spacing w:after="120" w:before="60"/>
      </w:pPr>
      <w:r>
        <w:rPr>
          <w:rFonts w:ascii="Seaford" w:cs="Seaford" w:eastAsia="Seaford" w:hAnsi="Seaford"/>
          <w:b/>
          <w:bCs/>
          <w:color w:val="49497F"/>
          <w:sz w:val="23"/>
          <w:szCs w:val="23"/>
        </w:rPr>
        <w:t xml:space="preserve">Wastewater and Stormwater Management</w:t>
      </w:r>
    </w:p>
    <w:p>
      <w:pPr>
        <w:keepNext/>
        <w:spacing w:after="100" w:before="200"/>
      </w:pPr>
      <w:r>
        <w:rPr>
          <w:rFonts w:ascii="Seaford" w:cs="Seaford" w:eastAsia="Seaford" w:hAnsi="Seaford"/>
          <w:b/>
          <w:bCs/>
          <w:color w:val="49497F"/>
          <w:sz w:val="22"/>
          <w:szCs w:val="22"/>
        </w:rPr>
        <w:t xml:space="preserve">1. </w:t>
      </w:r>
      <w:r>
        <w:rPr>
          <w:rFonts w:ascii="Seaford" w:cs="Seaford" w:eastAsia="Seaford" w:hAnsi="Seaford"/>
          <w:b/>
          <w:bCs/>
          <w:color w:val="2E3338"/>
          <w:sz w:val="22"/>
          <w:szCs w:val="22"/>
        </w:rPr>
        <w:t xml:space="preserve">Written Verification from Service Providers</w:t>
      </w:r>
    </w:p>
    <w:p>
      <w:pPr>
        <w:spacing w:after="140" w:before="0" w:line="276"/>
      </w:pPr>
      <w:r>
        <w:rPr>
          <w:rFonts w:ascii="Seaford" w:cs="Seaford" w:eastAsia="Seaford" w:hAnsi="Seaford"/>
          <w:color w:val="2E3338"/>
          <w:sz w:val="21"/>
          <w:szCs w:val="21"/>
        </w:rPr>
        <w:t xml:space="preserve">The Applicant has obtained written verification from each applicable service provider, attached as listed below:</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800"/>
        <w:gridCol w:w="2600"/>
        <w:gridCol w:w="1500"/>
        <w:gridCol w:w="1748"/>
      </w:tblGrid>
      <w:tr>
        <w:trPr>
          <w:cantSplit/>
          <w:tblHeader/>
        </w:trPr>
        <w:tc>
          <w:tcPr>
            <w:tcW w:type="dxa" w:w="38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Service</w:t>
            </w:r>
          </w:p>
        </w:tc>
        <w:tc>
          <w:tcPr>
            <w:tcW w:type="dxa" w:w="26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Provider</w:t>
            </w:r>
          </w:p>
        </w:tc>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Exhibit</w:t>
            </w:r>
          </w:p>
        </w:tc>
        <w:tc>
          <w:tcPr>
            <w:tcW w:type="dxa" w:w="174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Date</w:t>
            </w:r>
          </w:p>
        </w:tc>
      </w:tr>
      <w:tr>
        <w:trPr>
          <w:cantSplit/>
        </w:trPr>
        <w:tc>
          <w:tcPr>
            <w:tcW w:type="dxa" w:w="38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Wastewater collection and treatment</w:t>
            </w:r>
          </w:p>
        </w:tc>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[Provider name]</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7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8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Water supply</w:t>
            </w:r>
          </w:p>
        </w:tc>
        <w:tc>
          <w:tcPr>
            <w:tcW w:type="dxa" w:w="26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[Provider name]</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7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8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Stormwater (if a public system or MS4 receives site runoff)</w:t>
            </w:r>
          </w:p>
        </w:tc>
        <w:tc>
          <w:tcPr>
            <w:tcW w:type="dxa" w:w="26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[Provider name]</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7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bl>
    <w:p>
      <w:pPr>
        <w:spacing w:after="160" w:before="0"/>
      </w:pPr>
    </w:p>
    <w:p>
      <w:pPr>
        <w:spacing w:after="140" w:before="0" w:line="276"/>
      </w:pPr>
      <w:r>
        <w:rPr>
          <w:rFonts w:ascii="Seaford" w:cs="Seaford" w:eastAsia="Seaford" w:hAnsi="Seaford"/>
          <w:color w:val="2E3338"/>
          <w:sz w:val="21"/>
          <w:szCs w:val="21"/>
        </w:rPr>
        <w:t xml:space="preserve">Each verification letter must state, in the provider's own determination, that capacity sufficient in size and capacity is or will be made available. It must also state that the project's requirements can be safely accommodated without adverse effects on the availability, reliability, quality, cost, or safety of service to other customers.</w:t>
      </w:r>
    </w:p>
    <w:p>
      <w:pPr>
        <w:spacing w:after="140" w:before="0" w:line="276"/>
      </w:pPr>
      <w:r>
        <w:rPr>
          <w:rFonts w:ascii="Seaford" w:cs="Seaford" w:eastAsia="Seaford" w:hAnsi="Seaford"/>
          <w:color w:val="2E3338"/>
          <w:sz w:val="21"/>
          <w:szCs w:val="21"/>
        </w:rPr>
        <w:t xml:space="preserve">The Applicant does not make this determination itself. Where a provider's verification is conditional, the conditions are listed in Section 7.</w:t>
      </w:r>
    </w:p>
    <w:p>
      <w:pPr>
        <w:keepNext/>
        <w:spacing w:after="100" w:before="200"/>
      </w:pPr>
      <w:r>
        <w:rPr>
          <w:rFonts w:ascii="Seaford" w:cs="Seaford" w:eastAsia="Seaford" w:hAnsi="Seaford"/>
          <w:b/>
          <w:bCs/>
          <w:color w:val="49497F"/>
          <w:sz w:val="22"/>
          <w:szCs w:val="22"/>
        </w:rPr>
        <w:t xml:space="preserve">2. </w:t>
      </w:r>
      <w:r>
        <w:rPr>
          <w:rFonts w:ascii="Seaford" w:cs="Seaford" w:eastAsia="Seaford" w:hAnsi="Seaford"/>
          <w:b/>
          <w:bCs/>
          <w:color w:val="2E3338"/>
          <w:sz w:val="22"/>
          <w:szCs w:val="22"/>
        </w:rPr>
        <w:t xml:space="preserve">Wastewater Sources and Projected Flows</w:t>
      </w:r>
    </w:p>
    <w:p>
      <w:pPr>
        <w:spacing w:after="140" w:before="0" w:line="276"/>
      </w:pPr>
      <w:r>
        <w:rPr>
          <w:rFonts w:ascii="Seaford" w:cs="Seaford" w:eastAsia="Seaford" w:hAnsi="Seaford"/>
          <w:color w:val="2E3338"/>
          <w:sz w:val="21"/>
          <w:szCs w:val="21"/>
        </w:rPr>
        <w:t xml:space="preserve">The following projections are based on </w:t>
      </w:r>
      <w:r>
        <w:rPr>
          <w:rFonts w:ascii="Seaford" w:cs="Seaford" w:eastAsia="Seaford" w:hAnsi="Seaford"/>
          <w:color w:val="2E3338"/>
          <w:sz w:val="21"/>
          <w:szCs w:val="21"/>
          <w:shd w:fill="FCE7C5" w:color="auto" w:val="clear"/>
        </w:rPr>
        <w:t xml:space="preserve">[engineering basis, e.g., design cooling load, equipment specifications, employee count]</w:t>
      </w:r>
      <w:r>
        <w:rPr>
          <w:rFonts w:ascii="Seaford" w:cs="Seaford" w:eastAsia="Seaford" w:hAnsi="Seaford"/>
          <w:color w:val="2E3338"/>
          <w:sz w:val="21"/>
          <w:szCs w:val="21"/>
        </w:rPr>
        <w:t xml:space="preserve"> and were prepared by </w:t>
      </w:r>
      <w:r>
        <w:rPr>
          <w:rFonts w:ascii="Seaford" w:cs="Seaford" w:eastAsia="Seaford" w:hAnsi="Seaford"/>
          <w:color w:val="2E3338"/>
          <w:sz w:val="21"/>
          <w:szCs w:val="21"/>
          <w:shd w:fill="FCE7C5" w:color="auto" w:val="clear"/>
        </w:rPr>
        <w:t xml:space="preserve">[firm/PE]</w:t>
      </w:r>
      <w:r>
        <w:rPr>
          <w:rFonts w:ascii="Seaford" w:cs="Seaford" w:eastAsia="Seaford" w:hAnsi="Seaford"/>
          <w:color w:val="2E3338"/>
          <w:sz w:val="21"/>
          <w:szCs w:val="21"/>
        </w:rPr>
        <w:t xml:space="preserv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1500"/>
        <w:gridCol w:w="1500"/>
        <w:gridCol w:w="1848"/>
      </w:tblGrid>
      <w:tr>
        <w:trPr>
          <w:cantSplit/>
          <w:tblHeader/>
        </w:trPr>
        <w:tc>
          <w:tcPr>
            <w:tcW w:type="dxa" w:w="17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Wastewater Stream</w:t>
            </w:r>
          </w:p>
        </w:tc>
        <w:tc>
          <w:tcPr>
            <w:tcW w:type="dxa" w:w="31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Description</w:t>
            </w:r>
          </w:p>
        </w:tc>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Avg. Daily Flow (gpd)</w:t>
            </w:r>
          </w:p>
        </w:tc>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Max. Daily Flow (gpd)</w:t>
            </w:r>
          </w:p>
        </w:tc>
        <w:tc>
          <w:tcPr>
            <w:tcW w:type="dxa" w:w="184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Proposed Disposition</w:t>
            </w:r>
          </w:p>
        </w:tc>
      </w:tr>
      <w:tr>
        <w:trPr>
          <w:cantSplit/>
        </w:trPr>
        <w:tc>
          <w:tcPr>
            <w:tcW w:type="dxa" w:w="17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Equipment cooling</w:t>
            </w:r>
          </w:p>
        </w:tc>
        <w:tc>
          <w:tcPr>
            <w:tcW w:type="dxa" w:w="31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[Cooling tower blowdown / closed-loop drain-down / none if air-cooled]</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8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17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Humidity maintenance</w:t>
            </w:r>
          </w:p>
        </w:tc>
        <w:tc>
          <w:tcPr>
            <w:tcW w:type="dxa" w:w="31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[Humidifier or evaporative system blowdown]</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8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17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Process wastewater</w:t>
            </w:r>
          </w:p>
        </w:tc>
        <w:tc>
          <w:tcPr>
            <w:tcW w:type="dxa" w:w="31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[Water treatment reject, filter backwash, wash-down]</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8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17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Sanitary wastewater</w:t>
            </w:r>
          </w:p>
        </w:tc>
        <w:tc>
          <w:tcPr>
            <w:tcW w:type="dxa" w:w="31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[Domestic use, approx. X employees]</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c>
          <w:tcPr>
            <w:tcW w:type="dxa" w:w="18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bl>
    <w:p>
      <w:pPr>
        <w:keepNext/>
        <w:spacing w:after="100" w:before="200"/>
      </w:pPr>
      <w:r>
        <w:rPr>
          <w:rFonts w:ascii="Seaford" w:cs="Seaford" w:eastAsia="Seaford" w:hAnsi="Seaford"/>
          <w:b/>
          <w:bCs/>
          <w:color w:val="49497F"/>
          <w:sz w:val="22"/>
          <w:szCs w:val="22"/>
        </w:rPr>
        <w:t xml:space="preserve">3. </w:t>
      </w:r>
      <w:r>
        <w:rPr>
          <w:rFonts w:ascii="Seaford" w:cs="Seaford" w:eastAsia="Seaford" w:hAnsi="Seaford"/>
          <w:b/>
          <w:bCs/>
          <w:color w:val="2E3338"/>
          <w:sz w:val="22"/>
          <w:szCs w:val="22"/>
        </w:rPr>
        <w:t xml:space="preserve">Characteristics and Pretreatment of Non-Domestic Wastewater</w:t>
      </w:r>
    </w:p>
    <w:p>
      <w:pPr>
        <w:spacing w:after="140" w:before="0" w:line="276"/>
      </w:pPr>
      <w:r>
        <w:rPr>
          <w:rFonts w:ascii="Seaford" w:cs="Seaford" w:eastAsia="Seaford" w:hAnsi="Seaford"/>
          <w:color w:val="2E3338"/>
          <w:sz w:val="21"/>
          <w:szCs w:val="21"/>
          <w:shd w:fill="FCE7C5" w:color="auto" w:val="clear"/>
        </w:rPr>
        <w:t xml:space="preserve">[Describe expected characteristics, e.g., elevated total dissolved solids, temperature, residual water treatment chemicals.]</w:t>
      </w:r>
    </w:p>
    <w:p>
      <w:pPr>
        <w:spacing w:after="140" w:before="0" w:line="276"/>
      </w:pPr>
      <w:r>
        <w:rPr>
          <w:rFonts w:ascii="Seaford" w:cs="Seaford" w:eastAsia="Seaford" w:hAnsi="Seaford"/>
          <w:color w:val="2E3338"/>
          <w:sz w:val="21"/>
          <w:szCs w:val="21"/>
        </w:rPr>
        <w:t xml:space="preserve">Non-domestic wastewater will be managed through </w:t>
      </w:r>
      <w:r>
        <w:rPr>
          <w:rFonts w:ascii="Seaford" w:cs="Seaford" w:eastAsia="Seaford" w:hAnsi="Seaford"/>
          <w:color w:val="2E3338"/>
          <w:sz w:val="21"/>
          <w:szCs w:val="21"/>
          <w:shd w:fill="FCE7C5" w:color="auto" w:val="clear"/>
        </w:rPr>
        <w:t xml:space="preserve">[describe pretreatment, e.g., equalization, pH adjustment, temperature control, biocide deactivation]</w:t>
      </w:r>
      <w:r>
        <w:rPr>
          <w:rFonts w:ascii="Seaford" w:cs="Seaford" w:eastAsia="Seaford" w:hAnsi="Seaford"/>
          <w:color w:val="2E3338"/>
          <w:sz w:val="21"/>
          <w:szCs w:val="21"/>
        </w:rPr>
        <w:t xml:space="preserve"> before discharge. The goal is compliance with:</w:t>
      </w:r>
    </w:p>
    <w:p>
      <w:pPr>
        <w:pStyle w:val="ListParagraph"/>
        <w:numPr>
          <w:ilvl w:val="0"/>
          <w:numId w:val="2"/>
        </w:numPr>
        <w:spacing w:after="80" w:line="276"/>
      </w:pPr>
      <w:r>
        <w:rPr>
          <w:rFonts w:ascii="Seaford" w:cs="Seaford" w:eastAsia="Seaford" w:hAnsi="Seaford"/>
          <w:color w:val="2E3338"/>
          <w:sz w:val="21"/>
          <w:szCs w:val="21"/>
        </w:rPr>
        <w:t xml:space="preserve">the receiving system's sewer use ordinance and local limits;</w:t>
      </w:r>
    </w:p>
    <w:p>
      <w:pPr>
        <w:pStyle w:val="ListParagraph"/>
        <w:numPr>
          <w:ilvl w:val="0"/>
          <w:numId w:val="2"/>
        </w:numPr>
        <w:spacing w:after="80" w:line="276"/>
      </w:pPr>
      <w:r>
        <w:rPr>
          <w:rFonts w:ascii="Seaford" w:cs="Seaford" w:eastAsia="Seaford" w:hAnsi="Seaford"/>
          <w:color w:val="2E3338"/>
          <w:sz w:val="21"/>
          <w:szCs w:val="21"/>
        </w:rPr>
        <w:t xml:space="preserve">the General Pretreatment Regulations at 40 CFR Part 403; and</w:t>
      </w:r>
    </w:p>
    <w:p>
      <w:pPr>
        <w:pStyle w:val="ListParagraph"/>
        <w:numPr>
          <w:ilvl w:val="0"/>
          <w:numId w:val="2"/>
        </w:numPr>
        <w:spacing w:after="80" w:line="276"/>
      </w:pPr>
      <w:r>
        <w:rPr>
          <w:rFonts w:ascii="Seaford" w:cs="Seaford" w:eastAsia="Seaford" w:hAnsi="Seaford"/>
          <w:color w:val="2E3338"/>
          <w:sz w:val="21"/>
          <w:szCs w:val="21"/>
        </w:rPr>
        <w:t xml:space="preserve">the North Carolina pretreatment rules at 15A NCAC 02H .0900.</w:t>
      </w:r>
    </w:p>
    <w:p>
      <w:pPr>
        <w:spacing w:after="140" w:before="80" w:line="276"/>
      </w:pPr>
      <w:r>
        <w:rPr>
          <w:rFonts w:ascii="Seaford" w:cs="Seaford" w:eastAsia="Seaford" w:hAnsi="Seaford"/>
          <w:color w:val="2E3338"/>
          <w:sz w:val="21"/>
          <w:szCs w:val="21"/>
        </w:rPr>
        <w:t xml:space="preserve">Safety Data Sheets for water treatment chemicals will be given to the wastewater provider on request and before any change in chemical use.</w:t>
      </w:r>
    </w:p>
    <w:p>
      <w:pPr>
        <w:keepNext/>
        <w:spacing w:after="100" w:before="200"/>
      </w:pPr>
      <w:r>
        <w:rPr>
          <w:rFonts w:ascii="Seaford" w:cs="Seaford" w:eastAsia="Seaford" w:hAnsi="Seaford"/>
          <w:b/>
          <w:bCs/>
          <w:color w:val="49497F"/>
          <w:sz w:val="22"/>
          <w:szCs w:val="22"/>
        </w:rPr>
        <w:t xml:space="preserve">4. </w:t>
      </w:r>
      <w:r>
        <w:rPr>
          <w:rFonts w:ascii="Seaford" w:cs="Seaford" w:eastAsia="Seaford" w:hAnsi="Seaford"/>
          <w:b/>
          <w:bCs/>
          <w:color w:val="2E3338"/>
          <w:sz w:val="22"/>
          <w:szCs w:val="22"/>
        </w:rPr>
        <w:t xml:space="preserve">Stormwater Run-On and Run-Off</w:t>
      </w:r>
    </w:p>
    <w:p>
      <w:pPr>
        <w:spacing w:after="140" w:before="0" w:line="276"/>
      </w:pPr>
      <w:r>
        <w:rPr>
          <w:rFonts w:ascii="Seaford" w:cs="Seaford" w:eastAsia="Seaford" w:hAnsi="Seaford"/>
          <w:b/>
          <w:bCs/>
          <w:color w:val="2E3338"/>
          <w:sz w:val="21"/>
          <w:szCs w:val="21"/>
        </w:rPr>
        <w:t xml:space="preserve">Run-on.</w:t>
      </w:r>
      <w:r>
        <w:rPr>
          <w:rFonts w:ascii="Seaford" w:cs="Seaford" w:eastAsia="Seaford" w:hAnsi="Seaford"/>
          <w:color w:val="2E3338"/>
          <w:sz w:val="21"/>
          <w:szCs w:val="21"/>
        </w:rPr>
        <w:t xml:space="preserve"> Off-site stormwater entering the site will be </w:t>
      </w:r>
      <w:r>
        <w:rPr>
          <w:rFonts w:ascii="Seaford" w:cs="Seaford" w:eastAsia="Seaford" w:hAnsi="Seaford"/>
          <w:color w:val="2E3338"/>
          <w:sz w:val="21"/>
          <w:szCs w:val="21"/>
          <w:shd w:fill="FCE7C5" w:color="auto" w:val="clear"/>
        </w:rPr>
        <w:t xml:space="preserve">[diverted / conveyed / managed]</w:t>
      </w:r>
      <w:r>
        <w:rPr>
          <w:rFonts w:ascii="Seaford" w:cs="Seaford" w:eastAsia="Seaford" w:hAnsi="Seaford"/>
          <w:color w:val="2E3338"/>
          <w:sz w:val="21"/>
          <w:szCs w:val="21"/>
        </w:rPr>
        <w:t xml:space="preserve"> by </w:t>
      </w:r>
      <w:r>
        <w:rPr>
          <w:rFonts w:ascii="Seaford" w:cs="Seaford" w:eastAsia="Seaford" w:hAnsi="Seaford"/>
          <w:color w:val="2E3338"/>
          <w:sz w:val="21"/>
          <w:szCs w:val="21"/>
          <w:shd w:fill="FCE7C5" w:color="auto" w:val="clear"/>
        </w:rPr>
        <w:t xml:space="preserve">[describe measures]</w:t>
      </w:r>
      <w:r>
        <w:rPr>
          <w:rFonts w:ascii="Seaford" w:cs="Seaford" w:eastAsia="Seaford" w:hAnsi="Seaford"/>
          <w:color w:val="2E3338"/>
          <w:sz w:val="21"/>
          <w:szCs w:val="21"/>
        </w:rPr>
        <w:t xml:space="preserve">.</w:t>
      </w:r>
    </w:p>
    <w:p>
      <w:pPr>
        <w:spacing w:after="140" w:before="0" w:line="276"/>
      </w:pPr>
      <w:r>
        <w:rPr>
          <w:rFonts w:ascii="Seaford" w:cs="Seaford" w:eastAsia="Seaford" w:hAnsi="Seaford"/>
          <w:b/>
          <w:bCs/>
          <w:color w:val="2E3338"/>
          <w:sz w:val="21"/>
          <w:szCs w:val="21"/>
        </w:rPr>
        <w:t xml:space="preserve">Construction phase.</w:t>
      </w:r>
      <w:r>
        <w:rPr>
          <w:rFonts w:ascii="Seaford" w:cs="Seaford" w:eastAsia="Seaford" w:hAnsi="Seaford"/>
          <w:color w:val="2E3338"/>
          <w:sz w:val="21"/>
          <w:szCs w:val="21"/>
        </w:rPr>
        <w:t xml:space="preserve"> Where land disturbance is one acre or more, the project will comply with the Sedimentation Pollution Control Act through an approved erosion and sedimentation control plan. It will also obtain coverage under NPDES Construction Stormwater General Permit NCG010000. The plan will be reviewed by </w:t>
      </w:r>
      <w:r>
        <w:rPr>
          <w:rFonts w:ascii="Seaford" w:cs="Seaford" w:eastAsia="Seaford" w:hAnsi="Seaford"/>
          <w:color w:val="2E3338"/>
          <w:sz w:val="21"/>
          <w:szCs w:val="21"/>
          <w:shd w:fill="FCE7C5" w:color="auto" w:val="clear"/>
        </w:rPr>
        <w:t xml:space="preserve">[NCDEQ Division of Energy, Mineral, and Land Resources / the delegated local erosion control program]</w:t>
      </w:r>
      <w:r>
        <w:rPr>
          <w:rFonts w:ascii="Seaford" w:cs="Seaford" w:eastAsia="Seaford" w:hAnsi="Seaford"/>
          <w:color w:val="2E3338"/>
          <w:sz w:val="21"/>
          <w:szCs w:val="21"/>
        </w:rPr>
        <w:t xml:space="preserve">.</w:t>
      </w:r>
    </w:p>
    <w:p>
      <w:pPr>
        <w:spacing w:after="140" w:before="0" w:line="276"/>
      </w:pPr>
      <w:r>
        <w:rPr>
          <w:rFonts w:ascii="Seaford" w:cs="Seaford" w:eastAsia="Seaford" w:hAnsi="Seaford"/>
          <w:b/>
          <w:bCs/>
          <w:color w:val="2E3338"/>
          <w:sz w:val="21"/>
          <w:szCs w:val="21"/>
        </w:rPr>
        <w:t xml:space="preserve">Post-construction.</w:t>
      </w:r>
      <w:r>
        <w:rPr>
          <w:rFonts w:ascii="Seaford" w:cs="Seaford" w:eastAsia="Seaford" w:hAnsi="Seaford"/>
          <w:color w:val="2E3338"/>
          <w:sz w:val="21"/>
          <w:szCs w:val="21"/>
        </w:rPr>
        <w:t xml:space="preserve"> Run-off will be managed through </w:t>
      </w:r>
      <w:r>
        <w:rPr>
          <w:rFonts w:ascii="Seaford" w:cs="Seaford" w:eastAsia="Seaford" w:hAnsi="Seaford"/>
          <w:color w:val="2E3338"/>
          <w:sz w:val="21"/>
          <w:szCs w:val="21"/>
          <w:shd w:fill="FCE7C5" w:color="auto" w:val="clear"/>
        </w:rPr>
        <w:t xml:space="preserve">[describe SCMs]</w:t>
      </w:r>
      <w:r>
        <w:rPr>
          <w:rFonts w:ascii="Seaford" w:cs="Seaford" w:eastAsia="Seaford" w:hAnsi="Seaford"/>
          <w:color w:val="2E3338"/>
          <w:sz w:val="21"/>
          <w:szCs w:val="21"/>
        </w:rPr>
        <w:t xml:space="preserve"> in accordance with applicable state post-construction stormwater requirements and </w:t>
      </w:r>
      <w:r>
        <w:rPr>
          <w:rFonts w:ascii="Seaford" w:cs="Seaford" w:eastAsia="Seaford" w:hAnsi="Seaford"/>
          <w:color w:val="2E3338"/>
          <w:sz w:val="21"/>
          <w:szCs w:val="21"/>
          <w:shd w:fill="FCE7C5" w:color="auto" w:val="clear"/>
        </w:rPr>
        <w:t xml:space="preserve">[jurisdiction]</w:t>
      </w:r>
      <w:r>
        <w:rPr>
          <w:rFonts w:ascii="Seaford" w:cs="Seaford" w:eastAsia="Seaford" w:hAnsi="Seaford"/>
          <w:color w:val="2E3338"/>
          <w:sz w:val="21"/>
          <w:szCs w:val="21"/>
        </w:rPr>
        <w:t xml:space="preserve">'s stormwater ordinance.</w:t>
      </w:r>
    </w:p>
    <w:p>
      <w:pPr>
        <w:spacing w:after="140" w:before="0" w:line="276"/>
      </w:pPr>
      <w:r>
        <w:rPr>
          <w:rFonts w:ascii="Seaford" w:cs="Seaford" w:eastAsia="Seaford" w:hAnsi="Seaford"/>
          <w:b/>
          <w:bCs/>
          <w:color w:val="2E3338"/>
          <w:sz w:val="21"/>
          <w:szCs w:val="21"/>
        </w:rPr>
        <w:t xml:space="preserve">Industrial stormwater.</w:t>
      </w:r>
      <w:r>
        <w:rPr>
          <w:rFonts w:ascii="Seaford" w:cs="Seaford" w:eastAsia="Seaford" w:hAnsi="Seaford"/>
          <w:color w:val="2E3338"/>
          <w:sz w:val="21"/>
          <w:szCs w:val="21"/>
        </w:rPr>
        <w:t xml:space="preserve"> </w:t>
      </w:r>
      <w:r>
        <w:rPr>
          <w:rFonts w:ascii="Seaford" w:cs="Seaford" w:eastAsia="Seaford" w:hAnsi="Seaford"/>
          <w:color w:val="2E3338"/>
          <w:sz w:val="21"/>
          <w:szCs w:val="21"/>
          <w:shd w:fill="FCE7C5" w:color="auto" w:val="clear"/>
        </w:rPr>
        <w:t xml:space="preserve">[Describe industrial stormwater permit coverage, if any is required, or state why none applies.]</w:t>
      </w:r>
    </w:p>
    <w:p>
      <w:pPr>
        <w:keepNext/>
        <w:spacing w:after="100" w:before="200"/>
      </w:pPr>
      <w:r>
        <w:rPr>
          <w:rFonts w:ascii="Seaford" w:cs="Seaford" w:eastAsia="Seaford" w:hAnsi="Seaford"/>
          <w:b/>
          <w:bCs/>
          <w:color w:val="49497F"/>
          <w:sz w:val="22"/>
          <w:szCs w:val="22"/>
        </w:rPr>
        <w:t xml:space="preserve">5. </w:t>
      </w:r>
      <w:r>
        <w:rPr>
          <w:rFonts w:ascii="Seaford" w:cs="Seaford" w:eastAsia="Seaford" w:hAnsi="Seaford"/>
          <w:b/>
          <w:bCs/>
          <w:color w:val="2E3338"/>
          <w:sz w:val="22"/>
          <w:szCs w:val="22"/>
        </w:rPr>
        <w:t xml:space="preserve">Permits and Approvals (as applicable)</w:t>
      </w:r>
    </w:p>
    <w:p>
      <w:pPr>
        <w:spacing w:after="140" w:before="0" w:line="276"/>
      </w:pPr>
      <w:r>
        <w:rPr>
          <w:rFonts w:ascii="Seaford" w:cs="Seaford" w:eastAsia="Seaford" w:hAnsi="Seaford"/>
          <w:color w:val="2E3338"/>
          <w:sz w:val="21"/>
          <w:szCs w:val="21"/>
        </w:rPr>
        <w:t xml:space="preserve">The Applicant will obtain the following before the activities they govern begin:</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300"/>
        <w:gridCol w:w="3500"/>
        <w:gridCol w:w="1500"/>
        <w:gridCol w:w="1348"/>
      </w:tblGrid>
      <w:tr>
        <w:trPr>
          <w:cantSplit/>
          <w:tblHeader/>
        </w:trPr>
        <w:tc>
          <w:tcPr>
            <w:tcW w:type="dxa" w:w="33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Permit / Approval</w:t>
            </w:r>
          </w:p>
        </w:tc>
        <w:tc>
          <w:tcPr>
            <w:tcW w:type="dxa" w:w="3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Issuing Authority</w:t>
            </w:r>
          </w:p>
        </w:tc>
        <w:tc>
          <w:tcPr>
            <w:tcW w:type="dxa" w:w="1500"/>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Applicable?</w:t>
            </w:r>
          </w:p>
        </w:tc>
        <w:tc>
          <w:tcPr>
            <w:tcW w:type="dxa" w:w="1348"/>
            <w:tcBorders>
              <w:top w:val="none" w:color="FFFFFF" w:sz="0"/>
              <w:left w:val="none" w:color="FFFFFF" w:sz="0"/>
              <w:bottom w:val="single" w:color="D9D9E6" w:sz="4"/>
              <w:right w:val="none" w:color="FFFFFF" w:sz="0"/>
            </w:tcBorders>
            <w:shd w:fill="49497F" w:color="auto" w:val="clear"/>
            <w:tcMar>
              <w:top w:type="dxa" w:w="100"/>
              <w:left w:type="dxa" w:w="140"/>
              <w:bottom w:type="dxa" w:w="80"/>
              <w:right w:type="dxa" w:w="140"/>
            </w:tcMar>
          </w:tcPr>
          <w:p>
            <w:pPr>
              <w:spacing w:after="60" w:line="264"/>
            </w:pPr>
            <w:r>
              <w:rPr>
                <w:rFonts w:ascii="Seaford" w:cs="Seaford" w:eastAsia="Seaford" w:hAnsi="Seaford"/>
                <w:b/>
                <w:bCs/>
                <w:color w:val="FFFFFF"/>
                <w:sz w:val="19"/>
                <w:szCs w:val="19"/>
              </w:rPr>
              <w:t xml:space="preserve">Status</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Industrial User Pretreatment Permit</w:t>
            </w:r>
          </w:p>
        </w:tc>
        <w:tc>
          <w:tcPr>
            <w:tcW w:type="dxa" w:w="3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Local POTW control authority, or NCDEQ DWR where no approved local program exists</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Sewer extension / connection permit</w:t>
            </w:r>
          </w:p>
        </w:tc>
        <w:tc>
          <w:tcPr>
            <w:tcW w:type="dxa" w:w="3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[NCDEQ DWR or delegated local program]</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NPDES individual wastewater permit (direct discharge to surface waters)</w:t>
            </w:r>
          </w:p>
        </w:tc>
        <w:tc>
          <w:tcPr>
            <w:tcW w:type="dxa" w:w="3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NCDEQ Division of Water Resources</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Non-discharge permit (reuse, land application)</w:t>
            </w:r>
          </w:p>
        </w:tc>
        <w:tc>
          <w:tcPr>
            <w:tcW w:type="dxa" w:w="3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NCDEQ Division of Water Resources</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Erosion &amp; sedimentation control plan approval</w:t>
            </w:r>
          </w:p>
        </w:tc>
        <w:tc>
          <w:tcPr>
            <w:tcW w:type="dxa" w:w="3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NCDEQ DEMLR or delegated local program</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NPDES Construction Stormwater (NCG010000)</w:t>
            </w:r>
          </w:p>
        </w:tc>
        <w:tc>
          <w:tcPr>
            <w:tcW w:type="dxa" w:w="3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NCDEQ DEMLR</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Post-construction stormwater permit</w:t>
            </w:r>
          </w:p>
        </w:tc>
        <w:tc>
          <w:tcPr>
            <w:tcW w:type="dxa" w:w="3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[State or local authority]</w:t>
            </w:r>
          </w:p>
        </w:tc>
        <w:tc>
          <w:tcPr>
            <w:tcW w:type="dxa" w:w="1500"/>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FFFFF"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r>
        <w:trPr>
          <w:cantSplit/>
        </w:trPr>
        <w:tc>
          <w:tcPr>
            <w:tcW w:type="dxa" w:w="33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b/>
                <w:bCs/>
                <w:color w:val="49497F"/>
                <w:sz w:val="19"/>
                <w:szCs w:val="19"/>
              </w:rPr>
              <w:t xml:space="preserve">Water withdrawal registration (if self-supplied ≥100,000 gpd)</w:t>
            </w:r>
          </w:p>
        </w:tc>
        <w:tc>
          <w:tcPr>
            <w:tcW w:type="dxa" w:w="3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rPr>
              <w:t xml:space="preserve">Environmental Management Commission, through NCDEQ</w:t>
            </w:r>
          </w:p>
        </w:tc>
        <w:tc>
          <w:tcPr>
            <w:tcW w:type="dxa" w:w="1500"/>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[Y/N]</w:t>
            </w:r>
          </w:p>
        </w:tc>
        <w:tc>
          <w:tcPr>
            <w:tcW w:type="dxa" w:w="1348"/>
            <w:tcBorders>
              <w:top w:val="none" w:color="FFFFFF" w:sz="0"/>
              <w:left w:val="none" w:color="FFFFFF" w:sz="0"/>
              <w:bottom w:val="single" w:color="D9D9E6" w:sz="4"/>
              <w:right w:val="none" w:color="FFFFFF" w:sz="0"/>
            </w:tcBorders>
            <w:shd w:fill="F6F6FA" w:color="auto" w:val="clear"/>
            <w:tcMar>
              <w:top w:type="dxa" w:w="100"/>
              <w:left w:type="dxa" w:w="140"/>
              <w:bottom w:type="dxa" w:w="80"/>
              <w:right w:type="dxa" w:w="140"/>
            </w:tcMar>
          </w:tcPr>
          <w:p>
            <w:pPr>
              <w:spacing w:after="60" w:line="264"/>
            </w:pPr>
            <w:r>
              <w:rPr>
                <w:rFonts w:ascii="Seaford" w:cs="Seaford" w:eastAsia="Seaford" w:hAnsi="Seaford"/>
                <w:color w:val="2E3338"/>
                <w:sz w:val="19"/>
                <w:szCs w:val="19"/>
                <w:shd w:fill="FCE7C5" w:color="auto" w:val="clear"/>
              </w:rPr>
              <w:t xml:space="preserve">[ ]</w:t>
            </w:r>
          </w:p>
        </w:tc>
      </w:tr>
    </w:tbl>
    <w:p>
      <w:pPr>
        <w:keepNext/>
        <w:spacing w:after="100" w:before="200"/>
      </w:pPr>
      <w:r>
        <w:rPr>
          <w:rFonts w:ascii="Seaford" w:cs="Seaford" w:eastAsia="Seaford" w:hAnsi="Seaford"/>
          <w:b/>
          <w:bCs/>
          <w:color w:val="49497F"/>
          <w:sz w:val="22"/>
          <w:szCs w:val="22"/>
        </w:rPr>
        <w:t xml:space="preserve">6. </w:t>
      </w:r>
      <w:r>
        <w:rPr>
          <w:rFonts w:ascii="Seaford" w:cs="Seaford" w:eastAsia="Seaford" w:hAnsi="Seaford"/>
          <w:b/>
          <w:bCs/>
          <w:color w:val="2E3338"/>
          <w:sz w:val="22"/>
          <w:szCs w:val="22"/>
        </w:rPr>
        <w:t xml:space="preserve">Monitoring, Spill Prevention, and Contingency</w:t>
      </w:r>
    </w:p>
    <w:p>
      <w:pPr>
        <w:pStyle w:val="ListParagraph"/>
        <w:numPr>
          <w:ilvl w:val="0"/>
          <w:numId w:val="2"/>
        </w:numPr>
        <w:spacing w:after="80" w:line="276"/>
      </w:pPr>
      <w:r>
        <w:rPr>
          <w:rFonts w:ascii="Seaford" w:cs="Seaford" w:eastAsia="Seaford" w:hAnsi="Seaford"/>
          <w:color w:val="2E3338"/>
          <w:sz w:val="21"/>
          <w:szCs w:val="21"/>
        </w:rPr>
        <w:t xml:space="preserve">Flow metering and monitoring of non-domestic discharges, as required by the applicable permit</w:t>
      </w:r>
    </w:p>
    <w:p>
      <w:pPr>
        <w:pStyle w:val="ListParagraph"/>
        <w:numPr>
          <w:ilvl w:val="0"/>
          <w:numId w:val="2"/>
        </w:numPr>
        <w:spacing w:after="80" w:line="276"/>
      </w:pPr>
      <w:r>
        <w:rPr>
          <w:rFonts w:ascii="Seaford" w:cs="Seaford" w:eastAsia="Seaford" w:hAnsi="Seaford"/>
          <w:color w:val="2E3338"/>
          <w:sz w:val="21"/>
          <w:szCs w:val="21"/>
        </w:rPr>
        <w:t xml:space="preserve">Secondary containment for water treatment chemicals</w:t>
      </w:r>
    </w:p>
    <w:p>
      <w:pPr>
        <w:pStyle w:val="ListParagraph"/>
        <w:numPr>
          <w:ilvl w:val="0"/>
          <w:numId w:val="2"/>
        </w:numPr>
        <w:spacing w:after="80" w:line="276"/>
      </w:pPr>
      <w:r>
        <w:rPr>
          <w:rFonts w:ascii="Seaford" w:cs="Seaford" w:eastAsia="Seaford" w:hAnsi="Seaford"/>
          <w:color w:val="2E3338"/>
          <w:sz w:val="21"/>
          <w:szCs w:val="21"/>
        </w:rPr>
        <w:t xml:space="preserve">A contingency plan for upset conditions, including </w:t>
      </w:r>
      <w:r>
        <w:rPr>
          <w:rFonts w:ascii="Seaford" w:cs="Seaford" w:eastAsia="Seaford" w:hAnsi="Seaford"/>
          <w:color w:val="2E3338"/>
          <w:sz w:val="21"/>
          <w:szCs w:val="21"/>
          <w:shd w:fill="FCE7C5" w:color="auto" w:val="clear"/>
        </w:rPr>
        <w:t xml:space="preserve">[on-site holding capacity / hauling to a permitted facility]</w:t>
      </w:r>
    </w:p>
    <w:p>
      <w:pPr>
        <w:keepNext/>
        <w:spacing w:after="100" w:before="200"/>
      </w:pPr>
      <w:r>
        <w:rPr>
          <w:rFonts w:ascii="Seaford" w:cs="Seaford" w:eastAsia="Seaford" w:hAnsi="Seaford"/>
          <w:b/>
          <w:bCs/>
          <w:color w:val="49497F"/>
          <w:sz w:val="22"/>
          <w:szCs w:val="22"/>
        </w:rPr>
        <w:t xml:space="preserve">7. </w:t>
      </w:r>
      <w:r>
        <w:rPr>
          <w:rFonts w:ascii="Seaford" w:cs="Seaford" w:eastAsia="Seaford" w:hAnsi="Seaford"/>
          <w:b/>
          <w:bCs/>
          <w:color w:val="2E3338"/>
          <w:sz w:val="22"/>
          <w:szCs w:val="22"/>
        </w:rPr>
        <w:t xml:space="preserve">Required Improvements</w:t>
      </w:r>
    </w:p>
    <w:p>
      <w:pPr>
        <w:spacing w:after="80"/>
      </w:pPr>
      <w:r>
        <w:rPr>
          <w:rFonts w:ascii="Seaford" w:cs="Seaford" w:eastAsia="Seaford" w:hAnsi="Seaford"/>
          <w:b/>
          <w:bCs/>
          <w:color w:val="49497F"/>
          <w:sz w:val="21"/>
          <w:szCs w:val="21"/>
        </w:rPr>
        <w:t xml:space="preserve">Select one.</w:t>
      </w:r>
    </w:p>
    <w:p>
      <w:pPr>
        <w:pStyle w:val="ListParagraph"/>
        <w:numPr>
          <w:ilvl w:val="0"/>
          <w:numId w:val="11"/>
        </w:numPr>
        <w:spacing w:after="100" w:line="276"/>
      </w:pPr>
      <w:r>
        <w:rPr>
          <w:rFonts w:ascii="Seaford" w:cs="Seaford" w:eastAsia="Seaford" w:hAnsi="Seaford"/>
          <w:color w:val="2E3338"/>
          <w:sz w:val="21"/>
          <w:szCs w:val="21"/>
        </w:rPr>
        <w:t xml:space="preserve">The provider verifications in Section 1 state that no improvements to public infrastructure are required to serve the project.</w:t>
      </w:r>
    </w:p>
    <w:p>
      <w:pPr>
        <w:pStyle w:val="ListParagraph"/>
        <w:numPr>
          <w:ilvl w:val="0"/>
          <w:numId w:val="11"/>
        </w:numPr>
        <w:spacing w:after="100" w:line="276"/>
      </w:pPr>
      <w:r>
        <w:rPr>
          <w:rFonts w:ascii="Seaford" w:cs="Seaford" w:eastAsia="Seaford" w:hAnsi="Seaford"/>
          <w:color w:val="2E3338"/>
          <w:sz w:val="21"/>
          <w:szCs w:val="21"/>
        </w:rPr>
        <w:t xml:space="preserve">The provider verifications identify the following required improvements: </w:t>
      </w:r>
      <w:r>
        <w:rPr>
          <w:rFonts w:ascii="Seaford" w:cs="Seaford" w:eastAsia="Seaford" w:hAnsi="Seaford"/>
          <w:color w:val="2E3338"/>
          <w:sz w:val="21"/>
          <w:szCs w:val="21"/>
          <w:shd w:fill="FCE7C5" w:color="auto" w:val="clear"/>
        </w:rPr>
        <w:t xml:space="preserve">[list]</w:t>
      </w:r>
      <w:r>
        <w:rPr>
          <w:rFonts w:ascii="Seaford" w:cs="Seaford" w:eastAsia="Seaford" w:hAnsi="Seaford"/>
          <w:color w:val="2E3338"/>
          <w:sz w:val="21"/>
          <w:szCs w:val="21"/>
        </w:rPr>
        <w:t xml:space="preserve">. Under </w:t>
      </w:r>
      <w:r>
        <w:rPr>
          <w:rFonts w:ascii="Seaford" w:cs="Seaford" w:eastAsia="Seaford" w:hAnsi="Seaford"/>
          <w:color w:val="2E3338"/>
          <w:sz w:val="21"/>
          <w:szCs w:val="21"/>
          <w:shd w:fill="FCE7C5" w:color="auto" w:val="clear"/>
        </w:rPr>
        <w:t xml:space="preserve">[agreement name and date, Exhibit __]</w:t>
      </w:r>
      <w:r>
        <w:rPr>
          <w:rFonts w:ascii="Seaford" w:cs="Seaford" w:eastAsia="Seaford" w:hAnsi="Seaford"/>
          <w:color w:val="2E3338"/>
          <w:sz w:val="21"/>
          <w:szCs w:val="21"/>
        </w:rPr>
        <w:t xml:space="preserve">, these improvements will be </w:t>
      </w:r>
      <w:r>
        <w:rPr>
          <w:rFonts w:ascii="Seaford" w:cs="Seaford" w:eastAsia="Seaford" w:hAnsi="Seaford"/>
          <w:color w:val="2E3338"/>
          <w:sz w:val="21"/>
          <w:szCs w:val="21"/>
          <w:shd w:fill="FCE7C5" w:color="auto" w:val="clear"/>
        </w:rPr>
        <w:t xml:space="preserve">[funded by the Applicant / funded as described in the agreement]</w:t>
      </w:r>
      <w:r>
        <w:rPr>
          <w:rFonts w:ascii="Seaford" w:cs="Seaford" w:eastAsia="Seaford" w:hAnsi="Seaford"/>
          <w:color w:val="2E3338"/>
          <w:sz w:val="21"/>
          <w:szCs w:val="21"/>
        </w:rPr>
        <w:t xml:space="preserve">. They will be in place before the project begins operation. The agreement provides that existing customers will not bear additional cost for these improvements.</w:t>
      </w:r>
    </w:p>
    <w:p>
      <w:pPr>
        <w:pStyle w:val="Heading2"/>
        <w:keepNext/>
        <w:pBdr>
          <w:left w:val="single" w:color="9FD75C" w:sz="24" w:space="8"/>
        </w:pBdr>
        <w:spacing w:after="120" w:before="280"/>
      </w:pPr>
      <w:bookmarkStart w:id="925" w:name="_TocCP25"/>
      <w:r>
        <w:rPr>
          <w:rFonts w:ascii="Seaford" w:cs="Seaford" w:eastAsia="Seaford" w:hAnsi="Seaford"/>
          <w:b/>
          <w:bCs/>
          <w:color w:val="49497F"/>
          <w:sz w:val="28"/>
          <w:szCs w:val="28"/>
        </w:rPr>
        <w:t xml:space="preserve">5.7  Electrical Substations and Infrastructure</w:t>
      </w:r>
      <w:bookmarkEnd w:id="925"/>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Communities should review existing development ordinance standards for utility infrastructure and accessory uses before incorporating this section. Where substations or related infrastructure are already regulated, those provisions should be referenced or used to avoid duplicating or conflicting requirements.</w:t>
            </w:r>
          </w:p>
        </w:tc>
      </w:tr>
    </w:tbl>
    <w:p>
      <w:pPr>
        <w:spacing w:after="200" w:before="0"/>
      </w:pPr>
    </w:p>
    <w:p>
      <w:pPr>
        <w:pStyle w:val="ListParagraph"/>
        <w:numPr>
          <w:ilvl w:val="0"/>
          <w:numId w:val="12"/>
        </w:numPr>
        <w:spacing w:after="100" w:line="276"/>
      </w:pPr>
      <w:r>
        <w:rPr>
          <w:rFonts w:ascii="Seaford" w:cs="Seaford" w:eastAsia="Seaford" w:hAnsi="Seaford"/>
          <w:color w:val="2E3338"/>
          <w:sz w:val="21"/>
          <w:szCs w:val="21"/>
        </w:rPr>
        <w:t xml:space="preserve">On-site electrical substations serving a data center shall meet the applicable setback established in Section 5.2.</w:t>
      </w:r>
    </w:p>
    <w:p>
      <w:pPr>
        <w:pStyle w:val="ListParagraph"/>
        <w:numPr>
          <w:ilvl w:val="0"/>
          <w:numId w:val="12"/>
        </w:numPr>
        <w:spacing w:after="100" w:line="276"/>
      </w:pPr>
      <w:r>
        <w:rPr>
          <w:rFonts w:ascii="Seaford" w:cs="Seaford" w:eastAsia="Seaford" w:hAnsi="Seaford"/>
          <w:color w:val="2E3338"/>
          <w:sz w:val="21"/>
          <w:szCs w:val="21"/>
        </w:rPr>
        <w:t xml:space="preserve">On-site electrical substations should be located to the side or rear of the principal building where feasible and should not be located adjacent to public rights-of-way.</w:t>
      </w:r>
    </w:p>
    <w:p>
      <w:pPr>
        <w:pStyle w:val="ListParagraph"/>
        <w:numPr>
          <w:ilvl w:val="0"/>
          <w:numId w:val="12"/>
        </w:numPr>
        <w:spacing w:after="100" w:line="276"/>
      </w:pPr>
      <w:r>
        <w:rPr>
          <w:rFonts w:ascii="Seaford" w:cs="Seaford" w:eastAsia="Seaford" w:hAnsi="Seaford"/>
          <w:color w:val="2E3338"/>
          <w:sz w:val="21"/>
          <w:szCs w:val="21"/>
        </w:rPr>
        <w:t xml:space="preserve">Substations shall be screened from public rights-of-way and adjacent residential properties with a minimum </w:t>
      </w:r>
      <w:r>
        <w:rPr>
          <w:rFonts w:ascii="Seaford" w:cs="Seaford" w:eastAsia="Seaford" w:hAnsi="Seaford"/>
          <w:color w:val="2E3338"/>
          <w:sz w:val="21"/>
          <w:szCs w:val="21"/>
          <w:shd w:fill="FCE7C5" w:color="auto" w:val="clear"/>
        </w:rPr>
        <w:t xml:space="preserve">[8]</w:t>
      </w:r>
      <w:r>
        <w:rPr>
          <w:rFonts w:ascii="Seaford" w:cs="Seaford" w:eastAsia="Seaford" w:hAnsi="Seaford"/>
          <w:color w:val="2E3338"/>
          <w:sz w:val="21"/>
          <w:szCs w:val="21"/>
        </w:rPr>
        <w:t xml:space="preserve">-foot-tall opaque wall, year-round vegetative screening, or a combination of the two.</w:t>
      </w:r>
    </w:p>
    <w:p>
      <w:pPr>
        <w:pStyle w:val="ListParagraph"/>
        <w:numPr>
          <w:ilvl w:val="0"/>
          <w:numId w:val="12"/>
        </w:numPr>
        <w:spacing w:after="100" w:line="276"/>
      </w:pPr>
      <w:r>
        <w:rPr>
          <w:rFonts w:ascii="Seaford" w:cs="Seaford" w:eastAsia="Seaford" w:hAnsi="Seaford"/>
          <w:color w:val="2E3338"/>
          <w:sz w:val="21"/>
          <w:szCs w:val="21"/>
        </w:rPr>
        <w:t xml:space="preserve">Associated utility infrastructure, including transformer pads and switchgear, shall not be located within a required buffer yard unless otherwise permitted by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UDO.</w:t>
      </w:r>
    </w:p>
    <w:p>
      <w:pPr>
        <w:pStyle w:val="Heading2"/>
        <w:keepNext/>
        <w:pBdr>
          <w:left w:val="single" w:color="9FD75C" w:sz="24" w:space="8"/>
        </w:pBdr>
        <w:spacing w:after="120" w:before="280"/>
      </w:pPr>
      <w:bookmarkStart w:id="926" w:name="_TocCP26"/>
      <w:r>
        <w:rPr>
          <w:rFonts w:ascii="Seaford" w:cs="Seaford" w:eastAsia="Seaford" w:hAnsi="Seaford"/>
          <w:b/>
          <w:bCs/>
          <w:color w:val="49497F"/>
          <w:sz w:val="28"/>
          <w:szCs w:val="28"/>
        </w:rPr>
        <w:t xml:space="preserve">5.8  Traffic</w:t>
      </w:r>
      <w:bookmarkEnd w:id="926"/>
    </w:p>
    <w:p>
      <w:pPr>
        <w:pStyle w:val="ListParagraph"/>
        <w:numPr>
          <w:ilvl w:val="0"/>
          <w:numId w:val="13"/>
        </w:numPr>
        <w:spacing w:after="100" w:line="276"/>
      </w:pPr>
      <w:r>
        <w:rPr>
          <w:rFonts w:ascii="Seaford" w:cs="Seaford" w:eastAsia="Seaford" w:hAnsi="Seaford"/>
          <w:color w:val="2E3338"/>
          <w:sz w:val="21"/>
          <w:szCs w:val="21"/>
        </w:rPr>
        <w:t xml:space="preserve">A Traffic Impact Analysis (TIA) or trip generation letter shall be required when a proposed data center meets the applicable TIA threshold established in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UDO or other adopted local policy. Where no local threshold exists,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establish a threshold based on facility scale, square footage, anticipated employment, or another locally appropriate measure. The scope of any required analysis shall be coordinated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Planning staff, the applicant’s traffic engineer, and NCDOT for facilities served by state-maintained roadways.</w:t>
      </w:r>
    </w:p>
    <w:p>
      <w:pPr>
        <w:pStyle w:val="ListParagraph"/>
        <w:numPr>
          <w:ilvl w:val="0"/>
          <w:numId w:val="13"/>
        </w:numPr>
        <w:spacing w:after="100" w:line="276"/>
      </w:pPr>
      <w:r>
        <w:rPr>
          <w:rFonts w:ascii="Seaford" w:cs="Seaford" w:eastAsia="Seaford" w:hAnsi="Seaford"/>
          <w:color w:val="2E3338"/>
          <w:sz w:val="21"/>
          <w:szCs w:val="21"/>
        </w:rPr>
        <w:t xml:space="preserve">Roadway improvements, turn lanes, signal modifications, or other operational improvements identified through an applicable TIA shall be implemented in accordance with existing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and NCDOT requirements.</w:t>
      </w:r>
    </w:p>
    <w:p>
      <w:pPr>
        <w:pStyle w:val="ListParagraph"/>
        <w:numPr>
          <w:ilvl w:val="0"/>
          <w:numId w:val="13"/>
        </w:numPr>
        <w:spacing w:after="100" w:line="276"/>
      </w:pPr>
      <w:r>
        <w:rPr>
          <w:rFonts w:ascii="Seaford" w:cs="Seaford" w:eastAsia="Seaford" w:hAnsi="Seaford"/>
          <w:color w:val="2E3338"/>
          <w:sz w:val="21"/>
          <w:szCs w:val="21"/>
        </w:rPr>
        <w:t xml:space="preserve">For large-scale or hyperscale data centers, a construction traffic management plan may be required prior to grading to address routing, scheduling, road protection, and coordination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Public Works and Police.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9FD75C" w:sz="36"/>
              <w:bottom w:val="none" w:color="FFFFFF" w:sz="0"/>
              <w:right w:val="none" w:color="FFFFFF" w:sz="0"/>
            </w:tcBorders>
            <w:shd w:fill="F1F8E8"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Community Note:</w:t>
            </w:r>
            <w:r>
              <w:rPr>
                <w:rFonts w:ascii="Seaford" w:cs="Seaford" w:eastAsia="Seaford" w:hAnsi="Seaford"/>
                <w:color w:val="2E3338"/>
                <w:sz w:val="19"/>
                <w:szCs w:val="19"/>
              </w:rPr>
              <w:t xml:space="preserve"> </w:t>
            </w:r>
            <w:r>
              <w:rPr>
                <w:rFonts w:ascii="Seaford" w:cs="Seaford" w:eastAsia="Seaford" w:hAnsi="Seaford"/>
                <w:i/>
                <w:iCs/>
                <w:color w:val="2E3338"/>
                <w:sz w:val="19"/>
                <w:szCs w:val="19"/>
              </w:rPr>
              <w:t xml:space="preserve">This section is not intended to create a second TIA requirement where a community’s existing UDO or adopted policy already addresses traffic impact analysis. Communities should use their existing standards and only add data center-specific requirements where a gap exists.</w:t>
            </w:r>
          </w:p>
        </w:tc>
      </w:tr>
    </w:tbl>
    <w:p>
      <w:pPr>
        <w:pStyle w:val="Heading2"/>
        <w:keepNext/>
        <w:pBdr>
          <w:left w:val="single" w:color="9FD75C" w:sz="24" w:space="8"/>
        </w:pBdr>
        <w:spacing w:after="120" w:before="280"/>
      </w:pPr>
      <w:bookmarkStart w:id="927" w:name="_TocCP27"/>
      <w:r>
        <w:rPr>
          <w:rFonts w:ascii="Seaford" w:cs="Seaford" w:eastAsia="Seaford" w:hAnsi="Seaford"/>
          <w:b/>
          <w:bCs/>
          <w:color w:val="49497F"/>
          <w:sz w:val="28"/>
          <w:szCs w:val="28"/>
        </w:rPr>
        <w:t xml:space="preserve">5.9  Architectural Design Standards</w:t>
      </w:r>
      <w:bookmarkEnd w:id="927"/>
    </w:p>
    <w:p>
      <w:pPr>
        <w:pStyle w:val="ListParagraph"/>
        <w:numPr>
          <w:ilvl w:val="0"/>
          <w:numId w:val="14"/>
        </w:numPr>
        <w:spacing w:after="100" w:line="276"/>
      </w:pPr>
      <w:r>
        <w:rPr>
          <w:rFonts w:ascii="Seaford" w:cs="Seaford" w:eastAsia="Seaford" w:hAnsi="Seaford"/>
          <w:color w:val="2E3338"/>
          <w:sz w:val="21"/>
          <w:szCs w:val="21"/>
        </w:rPr>
        <w:t xml:space="preserve">All data center principal buildings shall comply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UDO Article </w:t>
      </w:r>
      <w:r>
        <w:rPr>
          <w:rFonts w:ascii="Seaford" w:cs="Seaford" w:eastAsia="Seaford" w:hAnsi="Seaford"/>
          <w:color w:val="2E3338"/>
          <w:sz w:val="21"/>
          <w:szCs w:val="21"/>
          <w:shd w:fill="FCE7C5" w:color="auto" w:val="clear"/>
        </w:rPr>
        <w:t xml:space="preserve">[9]</w:t>
      </w:r>
      <w:r>
        <w:rPr>
          <w:rFonts w:ascii="Seaford" w:cs="Seaford" w:eastAsia="Seaford" w:hAnsi="Seaford"/>
          <w:color w:val="2E3338"/>
          <w:sz w:val="21"/>
          <w:szCs w:val="21"/>
        </w:rPr>
        <w:t xml:space="preserve"> - Design Standards as applicable, as well as the standards below.</w:t>
      </w:r>
    </w:p>
    <w:p>
      <w:pPr>
        <w:pStyle w:val="ListParagraph"/>
        <w:numPr>
          <w:ilvl w:val="0"/>
          <w:numId w:val="14"/>
        </w:numPr>
        <w:spacing w:after="100" w:line="276"/>
      </w:pPr>
      <w:r>
        <w:rPr>
          <w:rFonts w:ascii="Seaford" w:cs="Seaford" w:eastAsia="Seaford" w:hAnsi="Seaford"/>
          <w:color w:val="2E3338"/>
          <w:sz w:val="21"/>
          <w:szCs w:val="21"/>
        </w:rPr>
        <w:t xml:space="preserve">Building design should approximate the appearance of commercial office or institutional buildings. Large unbroken expanses of blank wall are prohibited on any facade visible from a public right-of-way.</w:t>
      </w:r>
    </w:p>
    <w:p>
      <w:pPr>
        <w:pStyle w:val="ListParagraph"/>
        <w:numPr>
          <w:ilvl w:val="0"/>
          <w:numId w:val="14"/>
        </w:numPr>
        <w:spacing w:after="100" w:line="276"/>
      </w:pPr>
      <w:r>
        <w:rPr>
          <w:rFonts w:ascii="Seaford" w:cs="Seaford" w:eastAsia="Seaford" w:hAnsi="Seaford"/>
          <w:color w:val="2E3338"/>
          <w:sz w:val="21"/>
          <w:szCs w:val="21"/>
        </w:rPr>
        <w:t xml:space="preserve">Approved exterior materials include brick, stone, glass, architectural metal panels, and pre-cast concrete with textured or patterned surface treatment. Unfinished concrete block, corrugated metal, and EIFS (without textured application) are prohibited on street-facing facades. (May not need)</w:t>
      </w:r>
    </w:p>
    <w:p>
      <w:pPr>
        <w:pStyle w:val="Heading2"/>
        <w:keepNext/>
        <w:pBdr>
          <w:left w:val="single" w:color="9FD75C" w:sz="24" w:space="8"/>
        </w:pBdr>
        <w:spacing w:after="120" w:before="280"/>
      </w:pPr>
      <w:bookmarkStart w:id="928" w:name="_TocCP28"/>
      <w:r>
        <w:rPr>
          <w:rFonts w:ascii="Seaford" w:cs="Seaford" w:eastAsia="Seaford" w:hAnsi="Seaford"/>
          <w:b/>
          <w:bCs/>
          <w:color w:val="49497F"/>
          <w:sz w:val="28"/>
          <w:szCs w:val="28"/>
        </w:rPr>
        <w:t xml:space="preserve">5.10  Hazardous Materials and Safety</w:t>
      </w:r>
      <w:bookmarkEnd w:id="928"/>
    </w:p>
    <w:p>
      <w:pPr>
        <w:pStyle w:val="ListParagraph"/>
        <w:numPr>
          <w:ilvl w:val="0"/>
          <w:numId w:val="15"/>
        </w:numPr>
        <w:spacing w:after="100" w:line="276"/>
      </w:pPr>
      <w:r>
        <w:rPr>
          <w:rFonts w:ascii="Seaford" w:cs="Seaford" w:eastAsia="Seaford" w:hAnsi="Seaford"/>
          <w:color w:val="2E3338"/>
          <w:sz w:val="21"/>
          <w:szCs w:val="21"/>
        </w:rPr>
        <w:t xml:space="preserve">All electrical equipment shall be housed in a pre-engineered, electrically grounded, metal-encased structure with a minimum 1-hour fire resistance rating.</w:t>
      </w:r>
    </w:p>
    <w:p>
      <w:pPr>
        <w:pStyle w:val="ListParagraph"/>
        <w:numPr>
          <w:ilvl w:val="0"/>
          <w:numId w:val="15"/>
        </w:numPr>
        <w:spacing w:after="100" w:line="276"/>
      </w:pPr>
      <w:r>
        <w:rPr>
          <w:rFonts w:ascii="Seaford" w:cs="Seaford" w:eastAsia="Seaford" w:hAnsi="Seaford"/>
          <w:color w:val="2E3338"/>
          <w:sz w:val="21"/>
          <w:szCs w:val="21"/>
        </w:rPr>
        <w:t xml:space="preserve">Any Battery Energy Storage System (BESS) shall comply with NFPA Standard 855, “Installation of Stationary Energy Storage Systems,” and shall include fire suppression systems specifically designed for battery storage. BESS units shall be set back from all sensitive receptors, schools, daycare centers, hospitals, and residential uses by no less than </w:t>
      </w:r>
      <w:r>
        <w:rPr>
          <w:rFonts w:ascii="Seaford" w:cs="Seaford" w:eastAsia="Seaford" w:hAnsi="Seaford"/>
          <w:color w:val="2E3338"/>
          <w:sz w:val="21"/>
          <w:szCs w:val="21"/>
          <w:shd w:fill="FCE7C5" w:color="auto" w:val="clear"/>
        </w:rPr>
        <w:t xml:space="preserve">[500]</w:t>
      </w:r>
      <w:r>
        <w:rPr>
          <w:rFonts w:ascii="Seaford" w:cs="Seaford" w:eastAsia="Seaford" w:hAnsi="Seaford"/>
          <w:color w:val="2E3338"/>
          <w:sz w:val="21"/>
          <w:szCs w:val="21"/>
        </w:rPr>
        <w:t xml:space="preserve"> feet or as otherwise determined through a hazard analysis acceptable to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Fire Marshal.</w:t>
      </w:r>
    </w:p>
    <w:p>
      <w:pPr>
        <w:pStyle w:val="ListParagraph"/>
        <w:numPr>
          <w:ilvl w:val="0"/>
          <w:numId w:val="15"/>
        </w:numPr>
        <w:spacing w:after="100" w:line="276"/>
      </w:pPr>
      <w:r>
        <w:rPr>
          <w:rFonts w:ascii="Seaford" w:cs="Seaford" w:eastAsia="Seaford" w:hAnsi="Seaford"/>
          <w:color w:val="2E3338"/>
          <w:sz w:val="21"/>
          <w:szCs w:val="21"/>
        </w:rPr>
        <w:t xml:space="preserve">Diesel fuel storage tanks and associated infrastructure shall comply with all applicable NFPA, North Carolina Fire Code, and NC Department of Environmental Quality (NCDEQ) requirements. Spill containment berms, impermeable barriers, and secondary containment systems should be installed for all above-ground fuel storage.</w:t>
      </w:r>
    </w:p>
    <w:p>
      <w:pPr>
        <w:pStyle w:val="ListParagraph"/>
        <w:numPr>
          <w:ilvl w:val="0"/>
          <w:numId w:val="15"/>
        </w:numPr>
        <w:spacing w:after="100" w:line="276"/>
      </w:pPr>
      <w:r>
        <w:rPr>
          <w:rFonts w:ascii="Seaford" w:cs="Seaford" w:eastAsia="Seaford" w:hAnsi="Seaford"/>
          <w:color w:val="2E3338"/>
          <w:sz w:val="21"/>
          <w:szCs w:val="21"/>
        </w:rPr>
        <w:t xml:space="preserve">A hazardous materials management plan shall be submitted with the development application, identifying all hazardous materials and chemicals proposed for on-site use or storage, quantities, storage locations, handling and disposal methods, and emergency response procedures. The plan shall be reviewed and approved by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Fire Marshal.</w:t>
      </w:r>
    </w:p>
    <w:p>
      <w:pPr>
        <w:pStyle w:val="ListParagraph"/>
        <w:numPr>
          <w:ilvl w:val="0"/>
          <w:numId w:val="15"/>
        </w:numPr>
        <w:spacing w:after="100" w:line="276"/>
      </w:pPr>
      <w:r>
        <w:rPr>
          <w:rFonts w:ascii="Seaford" w:cs="Seaford" w:eastAsia="Seaford" w:hAnsi="Seaford"/>
          <w:color w:val="2E3338"/>
          <w:sz w:val="21"/>
          <w:szCs w:val="21"/>
        </w:rPr>
        <w:t xml:space="preserve">The applicant shall coordinate with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Fire Department and Police Department prior to issuance of a Certificate of Occupancy to establish pre-incident plans, access protocols, and emergency response procedures specific to the facility.</w:t>
      </w:r>
    </w:p>
    <w:p>
      <w:pPr>
        <w:pStyle w:val="ListParagraph"/>
        <w:numPr>
          <w:ilvl w:val="0"/>
          <w:numId w:val="15"/>
        </w:numPr>
        <w:spacing w:after="100" w:line="276"/>
      </w:pPr>
      <w:r>
        <w:rPr>
          <w:rFonts w:ascii="Seaford" w:cs="Seaford" w:eastAsia="Seaford" w:hAnsi="Seaford"/>
          <w:color w:val="2E3338"/>
          <w:sz w:val="21"/>
          <w:szCs w:val="21"/>
        </w:rPr>
        <w:t xml:space="preserve">Adequate on-site fire flow and water storage shall be provided as determined by the Fire Marshal and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engineer. Fire suppression water runoff containment systems shall be installed to prevent contamination of stormwater, groundwater, or public waterways.</w:t>
      </w:r>
    </w:p>
    <w:p>
      <w:pPr>
        <w:pStyle w:val="Heading2"/>
        <w:keepNext/>
        <w:pBdr>
          <w:left w:val="single" w:color="9FD75C" w:sz="24" w:space="8"/>
        </w:pBdr>
        <w:spacing w:after="120" w:before="280"/>
      </w:pPr>
      <w:bookmarkStart w:id="929" w:name="_TocCP29"/>
      <w:r>
        <w:rPr>
          <w:rFonts w:ascii="Seaford" w:cs="Seaford" w:eastAsia="Seaford" w:hAnsi="Seaford"/>
          <w:b/>
          <w:bCs/>
          <w:color w:val="49497F"/>
          <w:sz w:val="28"/>
          <w:szCs w:val="28"/>
        </w:rPr>
        <w:t xml:space="preserve">5.11  Environmental Impacts</w:t>
      </w:r>
      <w:bookmarkEnd w:id="929"/>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Environmental requirements will vary by community based on local conditions, applicable state requirements, and existing ordinance provisions. Communities should review the environmental impacts associated with data center development within their jurisdiction, including air quality, potential ground contamination, stormwater and process wastewater, water supply and watershed protection, and other locally relevant environmental concerns. Duplication of requirements already addressed by state law or existing local ordinances must be avoided. Where an environmental impact is already adequately regulated, communities should consider referencing the applicable requirement rather than creating a separate data center-specific standard.</w:t>
            </w:r>
          </w:p>
        </w:tc>
      </w:tr>
    </w:tbl>
    <w:p>
      <w:pPr>
        <w:spacing w:after="200" w:before="0"/>
      </w:pPr>
    </w:p>
    <w:p>
      <w:pPr>
        <w:pStyle w:val="ListParagraph"/>
        <w:numPr>
          <w:ilvl w:val="0"/>
          <w:numId w:val="16"/>
        </w:numPr>
        <w:spacing w:after="100" w:line="276"/>
      </w:pPr>
      <w:r>
        <w:rPr>
          <w:rFonts w:ascii="Seaford" w:cs="Seaford" w:eastAsia="Seaford" w:hAnsi="Seaford"/>
          <w:b/>
          <w:bCs/>
          <w:color w:val="2E3338"/>
          <w:sz w:val="21"/>
          <w:szCs w:val="21"/>
        </w:rPr>
        <w:t xml:space="preserve">Air Quality:</w:t>
      </w:r>
      <w:r>
        <w:rPr>
          <w:rFonts w:ascii="Seaford" w:cs="Seaford" w:eastAsia="Seaford" w:hAnsi="Seaford"/>
          <w:color w:val="2E3338"/>
          <w:sz w:val="21"/>
          <w:szCs w:val="21"/>
        </w:rPr>
        <w:t xml:space="preserve"> Onsite emergency generators shall comply with applicable U.S. Environmental Protection Agency (EPA) and North Carolina Division of Air Quality (NCDAQ) emission standards.</w:t>
      </w:r>
    </w:p>
    <w:p>
      <w:pPr>
        <w:pStyle w:val="ListParagraph"/>
        <w:numPr>
          <w:ilvl w:val="0"/>
          <w:numId w:val="16"/>
        </w:numPr>
        <w:spacing w:after="100" w:line="276"/>
      </w:pPr>
      <w:r>
        <w:rPr>
          <w:rFonts w:ascii="Seaford" w:cs="Seaford" w:eastAsia="Seaford" w:hAnsi="Seaford"/>
          <w:b/>
          <w:bCs/>
          <w:color w:val="2E3338"/>
          <w:sz w:val="21"/>
          <w:szCs w:val="21"/>
        </w:rPr>
        <w:t xml:space="preserve">Ground Contamination:</w:t>
      </w:r>
      <w:r>
        <w:rPr>
          <w:rFonts w:ascii="Seaford" w:cs="Seaford" w:eastAsia="Seaford" w:hAnsi="Seaford"/>
          <w:color w:val="2E3338"/>
          <w:sz w:val="21"/>
          <w:szCs w:val="21"/>
        </w:rPr>
        <w:t xml:space="preserve"> Applicants shall prepare and submit a site contamination prevention plan addressing the storage, use, and spill response for chemicals, refrigerants, coolants, fuels, and other potentially hazardous materials used or stored on site.</w:t>
      </w:r>
    </w:p>
    <w:p>
      <w:pPr>
        <w:pStyle w:val="ListParagraph"/>
        <w:numPr>
          <w:ilvl w:val="0"/>
          <w:numId w:val="16"/>
        </w:numPr>
        <w:spacing w:after="100" w:line="276"/>
      </w:pPr>
      <w:r>
        <w:rPr>
          <w:rFonts w:ascii="Seaford" w:cs="Seaford" w:eastAsia="Seaford" w:hAnsi="Seaford"/>
          <w:b/>
          <w:bCs/>
          <w:color w:val="2E3338"/>
          <w:sz w:val="21"/>
          <w:szCs w:val="21"/>
        </w:rPr>
        <w:t xml:space="preserve">Stormwater and Process Wastewater:</w:t>
      </w:r>
      <w:r>
        <w:rPr>
          <w:rFonts w:ascii="Seaford" w:cs="Seaford" w:eastAsia="Seaford" w:hAnsi="Seaford"/>
          <w:color w:val="2E3338"/>
          <w:sz w:val="21"/>
          <w:szCs w:val="21"/>
        </w:rPr>
        <w:t xml:space="preserve"> All impervious surfaces shall comply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stormwater ordinance requirements. Cooling tower blowdown and process wastewater shall not be discharged to stormwater infrastructure except as permitted by applicable state and local requirements.</w:t>
      </w:r>
    </w:p>
    <w:p>
      <w:pPr>
        <w:pStyle w:val="ListParagraph"/>
        <w:numPr>
          <w:ilvl w:val="0"/>
          <w:numId w:val="16"/>
        </w:numPr>
        <w:spacing w:after="100" w:line="276"/>
      </w:pPr>
      <w:r>
        <w:rPr>
          <w:rFonts w:ascii="Seaford" w:cs="Seaford" w:eastAsia="Seaford" w:hAnsi="Seaford"/>
          <w:b/>
          <w:bCs/>
          <w:color w:val="2E3338"/>
          <w:sz w:val="21"/>
          <w:szCs w:val="21"/>
        </w:rPr>
        <w:t xml:space="preserve">Water Supply Watersheds:</w:t>
      </w:r>
      <w:r>
        <w:rPr>
          <w:rFonts w:ascii="Seaford" w:cs="Seaford" w:eastAsia="Seaford" w:hAnsi="Seaford"/>
          <w:color w:val="2E3338"/>
          <w:sz w:val="21"/>
          <w:szCs w:val="21"/>
        </w:rPr>
        <w:t xml:space="preserve"> Development located within a designated water supply watershed shall comply with all applicable state and local watershed protection requirements, including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watershed protection ordinance provisions.</w:t>
      </w:r>
    </w:p>
    <w:p>
      <w:pPr>
        <w:pStyle w:val="ListParagraph"/>
        <w:numPr>
          <w:ilvl w:val="0"/>
          <w:numId w:val="16"/>
        </w:numPr>
        <w:spacing w:after="100" w:line="276"/>
      </w:pPr>
      <w:r>
        <w:rPr>
          <w:rFonts w:ascii="Seaford" w:cs="Seaford" w:eastAsia="Seaford" w:hAnsi="Seaford"/>
          <w:b/>
          <w:bCs/>
          <w:color w:val="2E3338"/>
          <w:sz w:val="21"/>
          <w:szCs w:val="21"/>
        </w:rPr>
        <w:t xml:space="preserve">Enhanced Air Quality Review (Tier 3 - Hyperscale):</w:t>
      </w:r>
      <w:r>
        <w:rPr>
          <w:rFonts w:ascii="Seaford" w:cs="Seaford" w:eastAsia="Seaford" w:hAnsi="Seaford"/>
          <w:color w:val="2E3338"/>
          <w:sz w:val="21"/>
          <w:szCs w:val="21"/>
        </w:rPr>
        <w:t xml:space="preserve"> In addition to the base emergency generator emissions compliance required above, Tier 3 (Hyperscale) facilities shall submit an air-quality/emissions assessment addressing the cumulative potential impact of all on-site emergency generators, prepared in a form acceptable to NCDAQ.</w:t>
      </w:r>
    </w:p>
    <w:p>
      <w:pPr>
        <w:pStyle w:val="ListParagraph"/>
        <w:numPr>
          <w:ilvl w:val="0"/>
          <w:numId w:val="16"/>
        </w:numPr>
        <w:spacing w:after="100" w:line="276"/>
      </w:pPr>
      <w:r>
        <w:rPr>
          <w:rFonts w:ascii="Seaford" w:cs="Seaford" w:eastAsia="Seaford" w:hAnsi="Seaford"/>
          <w:b/>
          <w:bCs/>
          <w:color w:val="2E3338"/>
          <w:sz w:val="21"/>
          <w:szCs w:val="21"/>
        </w:rPr>
        <w:t xml:space="preserve">Independent Third-Party Review (Tier 3 - Hyperscale):</w:t>
      </w:r>
      <w:r>
        <w:rPr>
          <w:rFonts w:ascii="Seaford" w:cs="Seaford" w:eastAsia="Seaford" w:hAnsi="Seaford"/>
          <w:color w:val="2E3338"/>
          <w:sz w:val="21"/>
          <w:szCs w:val="21"/>
        </w:rPr>
        <w:t xml:space="preserv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require independent third-party review, at the applicant’s expense, of the electrical load, water use, noise, and environmental studies submitted under Sections 4 and 5 for a Tier 3 (Hyperscale) facility, to verify their accuracy and completeness prior to approval.</w:t>
      </w:r>
    </w:p>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30" w:name="_TocCP30"/>
            <w:r>
              <w:rPr>
                <w:rFonts w:ascii="Seaford" w:cs="Seaford" w:eastAsia="Seaford" w:hAnsi="Seaford"/>
                <w:b/>
                <w:bCs/>
                <w:color w:val="9FD75C"/>
                <w:spacing w:val="60"/>
                <w:sz w:val="20"/>
                <w:szCs w:val="20"/>
              </w:rPr>
              <w:t xml:space="preserve">SECTION 6.</w:t>
            </w:r>
            <w:r>
              <w:rPr>
                <w:rFonts w:ascii="Seaford" w:cs="Seaford" w:eastAsia="Seaford" w:hAnsi="Seaford"/>
                <w:b/>
                <w:bCs/>
                <w:color w:val="FFFFFF"/>
                <w:sz w:val="34"/>
                <w:szCs w:val="34"/>
              </w:rPr>
              <w:br/>
              <w:t xml:space="preserve">MONITORING AND REPORTING</w:t>
            </w:r>
            <w:bookmarkEnd w:id="930"/>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31" w:name="_TocCP31"/>
      <w:r>
        <w:rPr>
          <w:rFonts w:ascii="Seaford" w:cs="Seaford" w:eastAsia="Seaford" w:hAnsi="Seaford"/>
          <w:b/>
          <w:bCs/>
          <w:color w:val="49497F"/>
          <w:sz w:val="28"/>
          <w:szCs w:val="28"/>
        </w:rPr>
        <w:t xml:space="preserve">6.1  Annual Operational Reports</w:t>
      </w:r>
      <w:bookmarkEnd w:id="931"/>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Communities requiring annual operational reports should identify the staff member or department responsible for reviewing the reports and determining whether any follow-up is needed. This may include reviewing reported changes in water use, wastewater discharge, or facility operations and coordinating with the appropriate utility or department where needed.</w:t>
            </w:r>
          </w:p>
        </w:tc>
      </w:tr>
    </w:tbl>
    <w:p>
      <w:pPr>
        <w:spacing w:after="200" w:before="0"/>
      </w:pPr>
    </w:p>
    <w:p>
      <w:pPr>
        <w:spacing w:after="140" w:before="0" w:line="276"/>
      </w:pPr>
      <w:r>
        <w:rPr>
          <w:rFonts w:ascii="Seaford" w:cs="Seaford" w:eastAsia="Seaford" w:hAnsi="Seaford"/>
          <w:color w:val="2E3338"/>
          <w:sz w:val="21"/>
          <w:szCs w:val="21"/>
        </w:rPr>
        <w:t xml:space="preserve">All Tier 2 (Large) and Tier 3 (Hyperscale) data centers (Ultimate Electrical Demand of </w:t>
      </w:r>
      <w:r>
        <w:rPr>
          <w:rFonts w:ascii="Seaford" w:cs="Seaford" w:eastAsia="Seaford" w:hAnsi="Seaford"/>
          <w:color w:val="2E3338"/>
          <w:sz w:val="21"/>
          <w:szCs w:val="21"/>
          <w:shd w:fill="FCE7C5" w:color="auto" w:val="clear"/>
        </w:rPr>
        <w:t xml:space="preserve">[50]</w:t>
      </w:r>
      <w:r>
        <w:rPr>
          <w:rFonts w:ascii="Seaford" w:cs="Seaford" w:eastAsia="Seaford" w:hAnsi="Seaford"/>
          <w:color w:val="2E3338"/>
          <w:sz w:val="21"/>
          <w:szCs w:val="21"/>
        </w:rPr>
        <w:t xml:space="preserve"> MW or greater) shall submit an annual operational report to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Planning Director by </w:t>
      </w:r>
      <w:r>
        <w:rPr>
          <w:rFonts w:ascii="Seaford" w:cs="Seaford" w:eastAsia="Seaford" w:hAnsi="Seaford"/>
          <w:color w:val="2E3338"/>
          <w:sz w:val="21"/>
          <w:szCs w:val="21"/>
          <w:shd w:fill="FCE7C5" w:color="auto" w:val="clear"/>
        </w:rPr>
        <w:t xml:space="preserve">[DECIDE ON DATE]</w:t>
      </w:r>
      <w:r>
        <w:rPr>
          <w:rFonts w:ascii="Seaford" w:cs="Seaford" w:eastAsia="Seaford" w:hAnsi="Seaford"/>
          <w:color w:val="2E3338"/>
          <w:sz w:val="21"/>
          <w:szCs w:val="21"/>
        </w:rPr>
        <w:t xml:space="preserve"> of each year. The annual report should include:</w:t>
      </w:r>
    </w:p>
    <w:p>
      <w:pPr>
        <w:pStyle w:val="ListParagraph"/>
        <w:numPr>
          <w:ilvl w:val="0"/>
          <w:numId w:val="2"/>
        </w:numPr>
        <w:spacing w:after="80" w:line="276"/>
      </w:pPr>
      <w:r>
        <w:rPr>
          <w:rFonts w:ascii="Seaford" w:cs="Seaford" w:eastAsia="Seaford" w:hAnsi="Seaford"/>
          <w:color w:val="2E3338"/>
          <w:sz w:val="21"/>
          <w:szCs w:val="21"/>
        </w:rPr>
        <w:t xml:space="preserve">Total annual water consumption and average daily water use.</w:t>
      </w:r>
    </w:p>
    <w:p>
      <w:pPr>
        <w:pStyle w:val="ListParagraph"/>
        <w:numPr>
          <w:ilvl w:val="0"/>
          <w:numId w:val="2"/>
        </w:numPr>
        <w:spacing w:after="80" w:line="276"/>
      </w:pPr>
      <w:r>
        <w:rPr>
          <w:rFonts w:ascii="Seaford" w:cs="Seaford" w:eastAsia="Seaford" w:hAnsi="Seaford"/>
          <w:color w:val="2E3338"/>
          <w:sz w:val="21"/>
          <w:szCs w:val="21"/>
        </w:rPr>
        <w:t xml:space="preserve">Peak daily water use during the reporting year.</w:t>
      </w:r>
    </w:p>
    <w:p>
      <w:pPr>
        <w:pStyle w:val="ListParagraph"/>
        <w:numPr>
          <w:ilvl w:val="0"/>
          <w:numId w:val="2"/>
        </w:numPr>
        <w:spacing w:after="80" w:line="276"/>
      </w:pPr>
      <w:r>
        <w:rPr>
          <w:rFonts w:ascii="Seaford" w:cs="Seaford" w:eastAsia="Seaford" w:hAnsi="Seaford"/>
          <w:color w:val="2E3338"/>
          <w:sz w:val="21"/>
          <w:szCs w:val="21"/>
        </w:rPr>
        <w:t xml:space="preserve">Total annual wastewater discharge and average daily wastewater discharge.</w:t>
      </w:r>
    </w:p>
    <w:p>
      <w:pPr>
        <w:pStyle w:val="ListParagraph"/>
        <w:numPr>
          <w:ilvl w:val="0"/>
          <w:numId w:val="2"/>
        </w:numPr>
        <w:spacing w:after="80" w:line="276"/>
      </w:pPr>
      <w:r>
        <w:rPr>
          <w:rFonts w:ascii="Seaford" w:cs="Seaford" w:eastAsia="Seaford" w:hAnsi="Seaford"/>
          <w:color w:val="2E3338"/>
          <w:sz w:val="21"/>
          <w:szCs w:val="21"/>
        </w:rPr>
        <w:t xml:space="preserve">Available information on the characteristics of wastewater discharged, including temperature and other parameters required by the applicable wastewater utility or pretreatment program.</w:t>
      </w:r>
    </w:p>
    <w:p>
      <w:pPr>
        <w:pStyle w:val="ListParagraph"/>
        <w:numPr>
          <w:ilvl w:val="0"/>
          <w:numId w:val="2"/>
        </w:numPr>
        <w:spacing w:after="80" w:line="276"/>
      </w:pPr>
      <w:r>
        <w:rPr>
          <w:rFonts w:ascii="Seaford" w:cs="Seaford" w:eastAsia="Seaford" w:hAnsi="Seaford"/>
          <w:color w:val="2E3338"/>
          <w:sz w:val="21"/>
          <w:szCs w:val="21"/>
        </w:rPr>
        <w:t xml:space="preserve">Identification of the primary water source, including potable, reclaimed, or other water sources.</w:t>
      </w:r>
    </w:p>
    <w:p>
      <w:pPr>
        <w:pStyle w:val="ListParagraph"/>
        <w:numPr>
          <w:ilvl w:val="0"/>
          <w:numId w:val="2"/>
        </w:numPr>
        <w:spacing w:after="80" w:line="276"/>
      </w:pPr>
      <w:r>
        <w:rPr>
          <w:rFonts w:ascii="Seaford" w:cs="Seaford" w:eastAsia="Seaford" w:hAnsi="Seaford"/>
          <w:color w:val="2E3338"/>
          <w:sz w:val="21"/>
          <w:szCs w:val="21"/>
        </w:rPr>
        <w:t xml:space="preserve">Any significant changes to water use, cooling systems, or wastewater discharge from the previous reporting year.</w:t>
      </w:r>
    </w:p>
    <w:p>
      <w:pPr>
        <w:pStyle w:val="Heading2"/>
        <w:keepNext/>
        <w:pBdr>
          <w:left w:val="single" w:color="9FD75C" w:sz="24" w:space="8"/>
        </w:pBdr>
        <w:spacing w:after="120" w:before="280"/>
      </w:pPr>
      <w:bookmarkStart w:id="932" w:name="_TocCP32"/>
      <w:r>
        <w:rPr>
          <w:rFonts w:ascii="Seaford" w:cs="Seaford" w:eastAsia="Seaford" w:hAnsi="Seaford"/>
          <w:b/>
          <w:bCs/>
          <w:color w:val="49497F"/>
          <w:sz w:val="28"/>
          <w:szCs w:val="28"/>
        </w:rPr>
        <w:t xml:space="preserve">6.2  Noise Monitoring</w:t>
      </w:r>
      <w:bookmarkEnd w:id="932"/>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Before adopting data center-specific noise monitoring or enforcement requirements, communities should first review their existing noise ordinance, complaint procedures, and enforcement provisions. Existing regulations may already provide an adequate process for receiving and investigating complaints, determining violations, requiring corrective action, and enforcing noise standards. Communities should also consider whether existing noise standards adequately address the characteristics of data center noise and are consistent with standards applied to other industrial or similarly situated uses. Where existing regulations adequately address these issues, separate data center-specific complaint or enforcement procedures may be unnecessary.</w:t>
            </w:r>
          </w:p>
        </w:tc>
      </w:tr>
    </w:tbl>
    <w:p>
      <w:pPr>
        <w:spacing w:after="200" w:before="0"/>
      </w:pPr>
    </w:p>
    <w:p>
      <w:pPr>
        <w:spacing w:after="140" w:before="0" w:line="276"/>
      </w:pPr>
      <w:r>
        <w:rPr>
          <w:rFonts w:ascii="Seaford" w:cs="Seaford" w:eastAsia="Seaford" w:hAnsi="Seaford"/>
          <w:color w:val="2E3338"/>
          <w:sz w:val="21"/>
          <w:szCs w:val="21"/>
        </w:rPr>
        <w:t xml:space="preserve">The appropriate process for receiving citizen complaints will vary by community.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should identify the department or official responsible for receiving and investigating noise complaints and ensure that residents have a clear way to submit concerns. Communities should consult with their local attorney regarding the appropriate zoning, noise ordinance, nuisance, or other enforcement authority for requiring assessments and corrective measures.</w:t>
      </w:r>
    </w:p>
    <w:p>
      <w:pPr>
        <w:spacing w:after="140" w:before="0" w:line="276"/>
      </w:pPr>
      <w:r>
        <w:rPr>
          <w:rFonts w:ascii="Seaford" w:cs="Seaford" w:eastAsia="Seaford" w:hAnsi="Seaford"/>
          <w:color w:val="2E3338"/>
          <w:sz w:val="21"/>
          <w:szCs w:val="21"/>
        </w:rPr>
        <w:t xml:space="preserve">Noise complaints associated with a data center shall be submitted and investigated in accordance with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’s established noise complaint and enforcement procedures.</w:t>
      </w:r>
    </w:p>
    <w:p>
      <w:pPr>
        <w:spacing w:after="140" w:before="0" w:line="276"/>
      </w:pPr>
      <w:r>
        <w:rPr>
          <w:rFonts w:ascii="Seaford" w:cs="Seaford" w:eastAsia="Seaford" w:hAnsi="Seaford"/>
          <w:color w:val="2E3338"/>
          <w:sz w:val="21"/>
          <w:szCs w:val="21"/>
        </w:rPr>
        <w:t xml:space="preserve">Upon receipt of a noise complaint that provides reasonable cause to believe a data center is not complying with the applicable noise standards,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require the data center operator to commission an independent noise assessment by a qualified acoustical professional. The assessment shall evaluate compliance with the applicable noise standards and be submitted to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within </w:t>
      </w:r>
      <w:r>
        <w:rPr>
          <w:rFonts w:ascii="Seaford" w:cs="Seaford" w:eastAsia="Seaford" w:hAnsi="Seaford"/>
          <w:color w:val="2E3338"/>
          <w:sz w:val="21"/>
          <w:szCs w:val="21"/>
          <w:shd w:fill="FCE7C5" w:color="auto" w:val="clear"/>
        </w:rPr>
        <w:t xml:space="preserve">[60]</w:t>
      </w:r>
      <w:r>
        <w:rPr>
          <w:rFonts w:ascii="Seaford" w:cs="Seaford" w:eastAsia="Seaford" w:hAnsi="Seaford"/>
          <w:color w:val="2E3338"/>
          <w:sz w:val="21"/>
          <w:szCs w:val="21"/>
        </w:rPr>
        <w:t xml:space="preserve"> days, or another timeframe established by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w:t>
      </w:r>
    </w:p>
    <w:p>
      <w:pPr>
        <w:spacing w:after="140" w:before="0" w:line="276"/>
      </w:pPr>
      <w:r>
        <w:rPr>
          <w:rFonts w:ascii="Seaford" w:cs="Seaford" w:eastAsia="Seaford" w:hAnsi="Seaford"/>
          <w:color w:val="2E3338"/>
          <w:sz w:val="21"/>
          <w:szCs w:val="21"/>
        </w:rPr>
        <w:t xml:space="preserve">If the assessment identifies an exceedance of the applicable noise standards, the operator shall implement corrective measures within a timeframe established by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based on the nature and severity of the exceedance. Corrective measures may include, but are not limited to, installation or modification of acoustical barriers or equipment enclosures, additional soundproofing or sound-attenuating materials, modification or replacement of noise-generating equipment, operational changes, or other measures demonstrated to bring the facility into compliance with the applicable noise standards.</w:t>
      </w:r>
    </w:p>
    <w:p>
      <w:pPr>
        <w:pStyle w:val="Heading2"/>
        <w:keepNext/>
        <w:pBdr>
          <w:left w:val="single" w:color="9FD75C" w:sz="24" w:space="8"/>
        </w:pBdr>
        <w:spacing w:after="120" w:before="280"/>
      </w:pPr>
      <w:bookmarkStart w:id="933" w:name="_TocCP33"/>
      <w:r>
        <w:rPr>
          <w:rFonts w:ascii="Seaford" w:cs="Seaford" w:eastAsia="Seaford" w:hAnsi="Seaford"/>
          <w:b/>
          <w:bCs/>
          <w:color w:val="49497F"/>
          <w:sz w:val="28"/>
          <w:szCs w:val="28"/>
        </w:rPr>
        <w:t xml:space="preserve">6.3  Compliance Inspections</w:t>
      </w:r>
      <w:bookmarkEnd w:id="933"/>
    </w:p>
    <w:p>
      <w:pPr>
        <w:spacing w:after="140" w:before="0" w:line="276"/>
      </w:pP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staff and authorized agents shall have the right, upon reasonable notice, to conduct site inspections to assess compliance with this Ordinance and any conditions of approval. The operator shall provide unrestricted access for inspection purposes to the exterior of the facility and all mechanical equipment areas.</w:t>
      </w:r>
    </w:p>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34" w:name="_TocCP34"/>
            <w:r>
              <w:rPr>
                <w:rFonts w:ascii="Seaford" w:cs="Seaford" w:eastAsia="Seaford" w:hAnsi="Seaford"/>
                <w:b/>
                <w:bCs/>
                <w:color w:val="9FD75C"/>
                <w:spacing w:val="60"/>
                <w:sz w:val="20"/>
                <w:szCs w:val="20"/>
              </w:rPr>
              <w:t xml:space="preserve">SECTION 7.</w:t>
            </w:r>
            <w:r>
              <w:rPr>
                <w:rFonts w:ascii="Seaford" w:cs="Seaford" w:eastAsia="Seaford" w:hAnsi="Seaford"/>
                <w:b/>
                <w:bCs/>
                <w:color w:val="FFFFFF"/>
                <w:sz w:val="34"/>
                <w:szCs w:val="34"/>
              </w:rPr>
              <w:br/>
              <w:t xml:space="preserve">ENFORCEMENT</w:t>
            </w:r>
            <w:bookmarkEnd w:id="934"/>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35" w:name="_TocCP35"/>
      <w:r>
        <w:rPr>
          <w:rFonts w:ascii="Seaford" w:cs="Seaford" w:eastAsia="Seaford" w:hAnsi="Seaford"/>
          <w:b/>
          <w:bCs/>
          <w:color w:val="49497F"/>
          <w:sz w:val="28"/>
          <w:szCs w:val="28"/>
        </w:rPr>
        <w:t xml:space="preserve">7.1  Violations</w:t>
      </w:r>
      <w:bookmarkEnd w:id="935"/>
    </w:p>
    <w:p>
      <w:pPr>
        <w:pStyle w:val="ListParagraph"/>
        <w:numPr>
          <w:ilvl w:val="0"/>
          <w:numId w:val="17"/>
        </w:numPr>
        <w:spacing w:after="100" w:line="276"/>
      </w:pPr>
      <w:r>
        <w:rPr>
          <w:rFonts w:ascii="Seaford" w:cs="Seaford" w:eastAsia="Seaford" w:hAnsi="Seaford"/>
          <w:b/>
          <w:bCs/>
          <w:color w:val="2E3338"/>
          <w:sz w:val="21"/>
          <w:szCs w:val="21"/>
        </w:rPr>
        <w:t xml:space="preserve">Notice of Violation.</w:t>
      </w:r>
      <w:r>
        <w:rPr>
          <w:rFonts w:ascii="Seaford" w:cs="Seaford" w:eastAsia="Seaford" w:hAnsi="Seaford"/>
          <w:color w:val="2E3338"/>
          <w:sz w:val="21"/>
          <w:szCs w:val="21"/>
        </w:rPr>
        <w:t xml:space="preserve"> When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determines that a data center is being constructed, operated, maintained, or otherwise used in violation of this Ordinance, an applicable development approval, or other applicable provisions of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issue a written notice of violation in accordance with N.C.G.S. § 160D-404. The notice shall identify the nature of the violation, any corrective action required, and the timeframe within which compliance must be achieved.</w:t>
      </w:r>
    </w:p>
    <w:p>
      <w:pPr>
        <w:pStyle w:val="ListParagraph"/>
        <w:numPr>
          <w:ilvl w:val="0"/>
          <w:numId w:val="17"/>
        </w:numPr>
        <w:spacing w:after="100" w:line="276"/>
      </w:pPr>
      <w:r>
        <w:rPr>
          <w:rFonts w:ascii="Seaford" w:cs="Seaford" w:eastAsia="Seaford" w:hAnsi="Seaford"/>
          <w:b/>
          <w:bCs/>
          <w:color w:val="2E3338"/>
          <w:sz w:val="21"/>
          <w:szCs w:val="21"/>
        </w:rPr>
        <w:t xml:space="preserve">Corrective Action.</w:t>
      </w:r>
      <w:r>
        <w:rPr>
          <w:rFonts w:ascii="Seaford" w:cs="Seaford" w:eastAsia="Seaford" w:hAnsi="Seaford"/>
          <w:color w:val="2E3338"/>
          <w:sz w:val="21"/>
          <w:szCs w:val="21"/>
        </w:rPr>
        <w:t xml:space="preserve"> The property owner and/or operator shall correct the violation within the timeframe specified by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Where appropriate, corrective action may include modification of site improvements or operations, installation or repair of required mitigation measures, restoration of required landscaping or screening, correction of lighting or noise violations, or other actions necessary to bring the property into compliance with this Ordinance and applicable development approvals.</w:t>
      </w:r>
    </w:p>
    <w:p>
      <w:pPr>
        <w:pStyle w:val="ListParagraph"/>
        <w:numPr>
          <w:ilvl w:val="0"/>
          <w:numId w:val="17"/>
        </w:numPr>
        <w:spacing w:after="100" w:line="276"/>
      </w:pPr>
      <w:r>
        <w:rPr>
          <w:rFonts w:ascii="Seaford" w:cs="Seaford" w:eastAsia="Seaford" w:hAnsi="Seaford"/>
          <w:b/>
          <w:bCs/>
          <w:color w:val="2E3338"/>
          <w:sz w:val="21"/>
          <w:szCs w:val="21"/>
        </w:rPr>
        <w:t xml:space="preserve">Stop Work Orders.</w:t>
      </w:r>
      <w:r>
        <w:rPr>
          <w:rFonts w:ascii="Seaford" w:cs="Seaford" w:eastAsia="Seaford" w:hAnsi="Seaford"/>
          <w:color w:val="2E3338"/>
          <w:sz w:val="21"/>
          <w:szCs w:val="21"/>
        </w:rPr>
        <w:t xml:space="preserve"> Where work or activity is undertaken in substantial violation of applicable State or local law, or in a manner that endangers life or property,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issue a stop work order in accordance with N.C.G.S. § 160D-404. The order shall identify the work or activity that must cease and the conditions that must be satisfied before the work or activity may resume.</w:t>
      </w:r>
    </w:p>
    <w:p>
      <w:pPr>
        <w:pStyle w:val="ListParagraph"/>
        <w:numPr>
          <w:ilvl w:val="0"/>
          <w:numId w:val="17"/>
        </w:numPr>
        <w:spacing w:after="100" w:line="276"/>
      </w:pPr>
      <w:r>
        <w:rPr>
          <w:rFonts w:ascii="Seaford" w:cs="Seaford" w:eastAsia="Seaford" w:hAnsi="Seaford"/>
          <w:b/>
          <w:bCs/>
          <w:color w:val="2E3338"/>
          <w:sz w:val="21"/>
          <w:szCs w:val="21"/>
        </w:rPr>
        <w:t xml:space="preserve">Continuing Violations and Civil Penalties.</w:t>
      </w:r>
      <w:r>
        <w:rPr>
          <w:rFonts w:ascii="Seaford" w:cs="Seaford" w:eastAsia="Seaford" w:hAnsi="Seaford"/>
          <w:color w:val="2E3338"/>
          <w:sz w:val="21"/>
          <w:szCs w:val="21"/>
        </w:rPr>
        <w:t xml:space="preserve"> Where authorized by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violations may be subject to applicable civil penalties. Each day that a violation continues after the period provided for corrective action may constitute a separate violation, consistent with the enforcement provisions of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and applicable State law.</w:t>
      </w:r>
    </w:p>
    <w:p>
      <w:pPr>
        <w:pStyle w:val="ListParagraph"/>
        <w:numPr>
          <w:ilvl w:val="0"/>
          <w:numId w:val="17"/>
        </w:numPr>
        <w:spacing w:after="100" w:line="276"/>
      </w:pPr>
      <w:r>
        <w:rPr>
          <w:rFonts w:ascii="Seaford" w:cs="Seaford" w:eastAsia="Seaford" w:hAnsi="Seaford"/>
          <w:b/>
          <w:bCs/>
          <w:color w:val="2E3338"/>
          <w:sz w:val="21"/>
          <w:szCs w:val="21"/>
        </w:rPr>
        <w:t xml:space="preserve">Additional Remedies.</w:t>
      </w:r>
      <w:r>
        <w:rPr>
          <w:rFonts w:ascii="Seaford" w:cs="Seaford" w:eastAsia="Seaford" w:hAnsi="Seaford"/>
          <w:color w:val="2E3338"/>
          <w:sz w:val="21"/>
          <w:szCs w:val="21"/>
        </w:rPr>
        <w:t xml:space="preserve"> In addition to the remedies above,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may pursue any other remedy authorized by N.C.G.S. § 160D-404 and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including appropriate proceedings to restrain, correct, or abate a violation; prevent unlawful use or development; or prevent occupancy or use where authorized by law. Remedies may be used individually or in combination as permitted by applicable law.</w:t>
      </w:r>
    </w:p>
    <w:p>
      <w:pPr>
        <w:pStyle w:val="Heading2"/>
        <w:keepNext/>
        <w:pBdr>
          <w:left w:val="single" w:color="9FD75C" w:sz="24" w:space="8"/>
        </w:pBdr>
        <w:spacing w:after="120" w:before="280"/>
      </w:pPr>
      <w:bookmarkStart w:id="936" w:name="_TocCP36"/>
      <w:r>
        <w:rPr>
          <w:rFonts w:ascii="Seaford" w:cs="Seaford" w:eastAsia="Seaford" w:hAnsi="Seaford"/>
          <w:b/>
          <w:bCs/>
          <w:color w:val="49497F"/>
          <w:sz w:val="28"/>
          <w:szCs w:val="28"/>
        </w:rPr>
        <w:t xml:space="preserve">7.2  Remedies</w:t>
      </w:r>
      <w:bookmarkEnd w:id="936"/>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none" w:color="FFFFFF" w:sz="0"/>
              <w:left w:val="single" w:color="64DAE6" w:sz="36"/>
              <w:bottom w:val="none" w:color="FFFFFF" w:sz="0"/>
              <w:right w:val="none" w:color="FFFFFF" w:sz="0"/>
            </w:tcBorders>
            <w:shd w:fill="E8F6FA" w:color="auto" w:val="clear"/>
            <w:tcMar>
              <w:top w:type="dxa" w:w="160"/>
              <w:left w:type="dxa" w:w="240"/>
              <w:bottom w:type="dxa" w:w="120"/>
              <w:right w:type="dxa" w:w="240"/>
            </w:tcMar>
          </w:tcPr>
          <w:p>
            <w:pPr>
              <w:spacing w:after="100" w:before="0" w:line="276"/>
            </w:pPr>
            <w:r>
              <w:rPr>
                <w:rFonts w:ascii="Seaford" w:cs="Seaford" w:eastAsia="Seaford" w:hAnsi="Seaford"/>
                <w:b/>
                <w:bCs/>
                <w:color w:val="2E3338"/>
                <w:sz w:val="19"/>
                <w:szCs w:val="19"/>
              </w:rPr>
              <w:t xml:space="preserve">Advisory Note:</w:t>
            </w:r>
            <w:r>
              <w:rPr>
                <w:rFonts w:ascii="Seaford" w:cs="Seaford" w:eastAsia="Seaford" w:hAnsi="Seaford"/>
                <w:color w:val="2E3338"/>
                <w:sz w:val="19"/>
                <w:szCs w:val="19"/>
              </w:rPr>
              <w:t xml:space="preserve"> Each community should review this section against its existing Unified Development Ordinance or zoning code before adoption. </w:t>
            </w:r>
            <w:r>
              <w:rPr>
                <w:rFonts w:ascii="Seaford" w:cs="Seaford" w:eastAsia="Seaford" w:hAnsi="Seaford"/>
                <w:i/>
                <w:iCs/>
                <w:color w:val="2E3338"/>
                <w:sz w:val="19"/>
                <w:szCs w:val="19"/>
              </w:rPr>
              <w:t xml:space="preserve">If the existing code already establishes remedies, penalties, permit revocation procedures, or other enforcement mechanisms applicable to zoning violations, the community should cross-reference those provisions rather than duplicate or create potentially inconsistent requirements.</w:t>
            </w:r>
          </w:p>
        </w:tc>
      </w:tr>
    </w:tbl>
    <w:p>
      <w:pPr>
        <w:spacing w:after="200" w:before="0"/>
      </w:pPr>
    </w:p>
    <w:p>
      <w:pPr>
        <w:spacing w:after="140" w:before="0" w:line="276"/>
      </w:pPr>
      <w:r>
        <w:rPr>
          <w:rFonts w:ascii="Seaford" w:cs="Seaford" w:eastAsia="Seaford" w:hAnsi="Seaford"/>
          <w:color w:val="2E3338"/>
          <w:sz w:val="21"/>
          <w:szCs w:val="21"/>
        </w:rPr>
        <w:t xml:space="preserve">In addition to any other remedy authorized by law, violations of this Ordinance may be enforced through the remedies available under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and applicable North Carolina law, including, where authorized, injunctive relief, civil penalties, and the suspension or revocation of permits or approvals issued in connection with the data center. Where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Unified Development Ordinance already establishes applicable enforcement procedures or remedies, those provisions shall govern and need not be duplicated herein. Nothing in this section shall limit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from exercising any other enforcement authority available under applicable law.</w:t>
      </w:r>
    </w:p>
    <w:p>
      <w:pPr>
        <w:spacing w:after="0"/>
      </w:pPr>
      <w:r>
        <w:br w:type="pag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c>
          <w:tcPr>
            <w:tcW w:type="dxa" w:w="9648"/>
            <w:tcBorders>
              <w:top w:val="none" w:color="FFFFFF" w:sz="0"/>
              <w:left w:val="none" w:color="FFFFFF" w:sz="0"/>
              <w:bottom w:val="none" w:color="FFFFFF" w:sz="0"/>
              <w:right w:val="none" w:color="FFFFFF" w:sz="0"/>
            </w:tcBorders>
            <w:shd w:fill="49497F" w:color="auto" w:val="clear"/>
            <w:tcMar>
              <w:top w:type="dxa" w:w="360"/>
              <w:left w:type="dxa" w:w="400"/>
              <w:bottom w:type="dxa" w:w="300"/>
              <w:right w:type="dxa" w:w="400"/>
            </w:tcMar>
          </w:tcPr>
          <w:p>
            <w:pPr>
              <w:pStyle w:val="Heading1"/>
              <w:spacing w:after="0" w:before="0"/>
            </w:pPr>
            <w:bookmarkStart w:id="937" w:name="_TocCP37"/>
            <w:r>
              <w:rPr>
                <w:rFonts w:ascii="Seaford" w:cs="Seaford" w:eastAsia="Seaford" w:hAnsi="Seaford"/>
                <w:b/>
                <w:bCs/>
                <w:color w:val="9FD75C"/>
                <w:spacing w:val="60"/>
                <w:sz w:val="20"/>
                <w:szCs w:val="20"/>
              </w:rPr>
              <w:t xml:space="preserve">SECTION 8.</w:t>
            </w:r>
            <w:r>
              <w:rPr>
                <w:rFonts w:ascii="Seaford" w:cs="Seaford" w:eastAsia="Seaford" w:hAnsi="Seaford"/>
                <w:b/>
                <w:bCs/>
                <w:color w:val="FFFFFF"/>
                <w:sz w:val="34"/>
                <w:szCs w:val="34"/>
              </w:rPr>
              <w:br/>
              <w:t xml:space="preserve">AMENDMENTS, EFFECTIVE DATE, AND SEVERABILITY</w:t>
            </w:r>
            <w:bookmarkEnd w:id="937"/>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412"/>
        <w:gridCol w:w="2412"/>
        <w:gridCol w:w="2412"/>
        <w:gridCol w:w="2412"/>
      </w:tblGrid>
      <w:tr>
        <w:trPr>
          <w:trHeight w:val="100" w:hRule="exact"/>
        </w:trPr>
        <w:tc>
          <w:tcPr>
            <w:tcW w:type="dxa" w:w="2412"/>
            <w:tcBorders>
              <w:top w:val="none" w:color="FFFFFF" w:sz="0"/>
              <w:left w:val="none" w:color="FFFFFF" w:sz="0"/>
              <w:bottom w:val="none" w:color="FFFFFF" w:sz="0"/>
              <w:right w:val="none" w:color="FFFFFF" w:sz="0"/>
            </w:tcBorders>
            <w:shd w:fill="9FD75C"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64DAE6"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4AF40" w:color="auto" w:val="clear"/>
            <w:tcMar>
              <w:top w:type="dxa" w:w="0"/>
              <w:left w:type="dxa" w:w="0"/>
              <w:bottom w:type="dxa" w:w="0"/>
              <w:right w:type="dxa" w:w="0"/>
            </w:tcMar>
          </w:tcPr>
          <w:p>
            <w:pPr>
              <w:spacing w:after="0" w:before="0" w:line="100" w:lineRule="exact"/>
            </w:pPr>
          </w:p>
        </w:tc>
        <w:tc>
          <w:tcPr>
            <w:tcW w:type="dxa" w:w="2412"/>
            <w:tcBorders>
              <w:top w:val="none" w:color="FFFFFF" w:sz="0"/>
              <w:left w:val="none" w:color="FFFFFF" w:sz="0"/>
              <w:bottom w:val="none" w:color="FFFFFF" w:sz="0"/>
              <w:right w:val="none" w:color="FFFFFF" w:sz="0"/>
            </w:tcBorders>
            <w:shd w:fill="FC7559" w:color="auto" w:val="clear"/>
            <w:tcMar>
              <w:top w:type="dxa" w:w="0"/>
              <w:left w:type="dxa" w:w="0"/>
              <w:bottom w:type="dxa" w:w="0"/>
              <w:right w:type="dxa" w:w="0"/>
            </w:tcMar>
          </w:tcPr>
          <w:p>
            <w:pPr>
              <w:spacing w:after="0" w:before="0" w:line="100" w:lineRule="exact"/>
            </w:pPr>
          </w:p>
        </w:tc>
      </w:tr>
    </w:tbl>
    <w:p>
      <w:pPr>
        <w:spacing w:after="360" w:before="0"/>
      </w:pPr>
    </w:p>
    <w:p>
      <w:pPr>
        <w:pStyle w:val="Heading2"/>
        <w:keepNext/>
        <w:pBdr>
          <w:left w:val="single" w:color="9FD75C" w:sz="24" w:space="8"/>
        </w:pBdr>
        <w:spacing w:after="120" w:before="280"/>
      </w:pPr>
      <w:bookmarkStart w:id="938" w:name="_TocCP38"/>
      <w:r>
        <w:rPr>
          <w:rFonts w:ascii="Seaford" w:cs="Seaford" w:eastAsia="Seaford" w:hAnsi="Seaford"/>
          <w:b/>
          <w:bCs/>
          <w:color w:val="49497F"/>
          <w:sz w:val="28"/>
          <w:szCs w:val="28"/>
        </w:rPr>
        <w:t xml:space="preserve">8.1  Amendments</w:t>
      </w:r>
      <w:bookmarkEnd w:id="938"/>
    </w:p>
    <w:p>
      <w:pPr>
        <w:spacing w:after="140" w:before="0" w:line="276"/>
      </w:pPr>
      <w:r>
        <w:rPr>
          <w:rFonts w:ascii="Seaford" w:cs="Seaford" w:eastAsia="Seaford" w:hAnsi="Seaford"/>
          <w:color w:val="2E3338"/>
          <w:sz w:val="21"/>
          <w:szCs w:val="21"/>
        </w:rPr>
        <w:t xml:space="preserve">This Ordinance may be amended in accordance with the procedures set forth in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UDO Section </w:t>
      </w:r>
      <w:r>
        <w:rPr>
          <w:rFonts w:ascii="Seaford" w:cs="Seaford" w:eastAsia="Seaford" w:hAnsi="Seaford"/>
          <w:color w:val="2E3338"/>
          <w:sz w:val="21"/>
          <w:szCs w:val="21"/>
          <w:shd w:fill="FCE7C5" w:color="auto" w:val="clear"/>
        </w:rPr>
        <w:t xml:space="preserve">[2.3.2]</w:t>
      </w:r>
      <w:r>
        <w:rPr>
          <w:rFonts w:ascii="Seaford" w:cs="Seaford" w:eastAsia="Seaford" w:hAnsi="Seaford"/>
          <w:color w:val="2E3338"/>
          <w:sz w:val="21"/>
          <w:szCs w:val="21"/>
        </w:rPr>
        <w:t xml:space="preserve"> and N.C.G.S. § 160D-106. The Planning Board shall consider proposed amendments and make a recommendation to the Town Council. The Town Council shall hold a public hearing prior to making a final decision.</w:t>
      </w:r>
    </w:p>
    <w:p>
      <w:pPr>
        <w:pStyle w:val="Heading2"/>
        <w:keepNext/>
        <w:pBdr>
          <w:left w:val="single" w:color="9FD75C" w:sz="24" w:space="8"/>
        </w:pBdr>
        <w:spacing w:after="120" w:before="280"/>
      </w:pPr>
      <w:bookmarkStart w:id="939" w:name="_TocCP39"/>
      <w:r>
        <w:rPr>
          <w:rFonts w:ascii="Seaford" w:cs="Seaford" w:eastAsia="Seaford" w:hAnsi="Seaford"/>
          <w:b/>
          <w:bCs/>
          <w:color w:val="49497F"/>
          <w:sz w:val="28"/>
          <w:szCs w:val="28"/>
        </w:rPr>
        <w:t xml:space="preserve">8.2  Effective Date</w:t>
      </w:r>
      <w:bookmarkEnd w:id="939"/>
    </w:p>
    <w:p>
      <w:pPr>
        <w:spacing w:after="140" w:before="0" w:line="276"/>
      </w:pPr>
      <w:r>
        <w:rPr>
          <w:rFonts w:ascii="Seaford" w:cs="Seaford" w:eastAsia="Seaford" w:hAnsi="Seaford"/>
          <w:color w:val="2E3338"/>
          <w:sz w:val="21"/>
          <w:szCs w:val="21"/>
        </w:rPr>
        <w:t xml:space="preserve">This Ordinance shall become effective upon adoption by the </w:t>
      </w:r>
      <w:r>
        <w:rPr>
          <w:rFonts w:ascii="Seaford" w:cs="Seaford" w:eastAsia="Seaford" w:hAnsi="Seaford"/>
          <w:color w:val="2E3338"/>
          <w:sz w:val="21"/>
          <w:szCs w:val="21"/>
          <w:shd w:fill="FCE7C5" w:color="auto" w:val="clear"/>
        </w:rPr>
        <w:t xml:space="preserve">[LOCAL GOVERNMENT]</w:t>
      </w:r>
      <w:r>
        <w:rPr>
          <w:rFonts w:ascii="Seaford" w:cs="Seaford" w:eastAsia="Seaford" w:hAnsi="Seaford"/>
          <w:color w:val="2E3338"/>
          <w:sz w:val="21"/>
          <w:szCs w:val="21"/>
        </w:rPr>
        <w:t xml:space="preserve"> Town Council and shall apply to all development applications submitted on or after the effective date.</w:t>
      </w:r>
    </w:p>
    <w:p>
      <w:pPr>
        <w:pStyle w:val="Heading2"/>
        <w:keepNext/>
        <w:pBdr>
          <w:left w:val="single" w:color="9FD75C" w:sz="24" w:space="8"/>
        </w:pBdr>
        <w:spacing w:after="120" w:before="280"/>
      </w:pPr>
      <w:bookmarkStart w:id="940" w:name="_TocCP40"/>
      <w:r>
        <w:rPr>
          <w:rFonts w:ascii="Seaford" w:cs="Seaford" w:eastAsia="Seaford" w:hAnsi="Seaford"/>
          <w:b/>
          <w:bCs/>
          <w:color w:val="49497F"/>
          <w:sz w:val="28"/>
          <w:szCs w:val="28"/>
        </w:rPr>
        <w:t xml:space="preserve">8.3  Severability</w:t>
      </w:r>
      <w:bookmarkEnd w:id="940"/>
    </w:p>
    <w:p>
      <w:pPr>
        <w:spacing w:after="140" w:before="0" w:line="276"/>
      </w:pPr>
      <w:r>
        <w:rPr>
          <w:rFonts w:ascii="Seaford" w:cs="Seaford" w:eastAsia="Seaford" w:hAnsi="Seaford"/>
          <w:color w:val="2E3338"/>
          <w:sz w:val="21"/>
          <w:szCs w:val="21"/>
        </w:rPr>
        <w:t xml:space="preserve">Communities should adapt this provision to align with any severability language already included in their Unified Development Ordinance or local code. Where appropriate, a provision may state that if any section, subsection, sentence, clause, or phrase is held invalid by a court of competent jurisdiction, the remaining portions of the ordinance remain in effect.</w:t>
      </w:r>
    </w:p>
    <w:p>
      <w:pPr>
        <w:spacing w:after="240" w:before="0"/>
      </w:pP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single" w:color="49497F" w:sz="24"/>
              <w:left w:val="none" w:color="FFFFFF" w:sz="0"/>
              <w:bottom w:val="none" w:color="FFFFFF" w:sz="0"/>
              <w:right w:val="none" w:color="FFFFFF" w:sz="0"/>
            </w:tcBorders>
            <w:shd w:fill="F3F3F6" w:color="auto" w:val="clear"/>
            <w:tcMar>
              <w:top w:type="dxa" w:w="160"/>
              <w:left w:type="dxa" w:w="240"/>
              <w:bottom w:type="dxa" w:w="120"/>
              <w:right w:type="dxa" w:w="240"/>
            </w:tcMar>
          </w:tcPr>
          <w:p>
            <w:pPr>
              <w:spacing w:after="120"/>
            </w:pPr>
            <w:r>
              <w:rPr>
                <w:rFonts w:ascii="Seaford" w:cs="Seaford" w:eastAsia="Seaford" w:hAnsi="Seaford"/>
                <w:b/>
                <w:bCs/>
                <w:color w:val="49497F"/>
                <w:sz w:val="26"/>
                <w:szCs w:val="26"/>
              </w:rPr>
              <w:t xml:space="preserve">Legal Disclaimer</w:t>
            </w:r>
          </w:p>
          <w:p>
            <w:pPr>
              <w:spacing w:after="100" w:before="0" w:line="276"/>
            </w:pPr>
            <w:r>
              <w:rPr>
                <w:rFonts w:ascii="Seaford" w:cs="Seaford" w:eastAsia="Seaford" w:hAnsi="Seaford"/>
                <w:color w:val="2E3338"/>
                <w:sz w:val="19"/>
                <w:szCs w:val="19"/>
              </w:rPr>
              <w:t xml:space="preserve">This document is a draft template ordinance for discussion and local adaptation only and is not intended to constitute legal advice or a ready-to-adopt ordinance. The provisions and numerical standards included in the draft are starting-point recommendations informed by research and analysis of peer jurisdictions, technical and practitioner input, and discussions of the Data Center Working Group convened by Central Pines Regional Council.</w:t>
            </w:r>
          </w:p>
          <w:p>
            <w:pPr>
              <w:spacing w:after="100" w:before="0" w:line="276"/>
            </w:pPr>
            <w:r>
              <w:rPr>
                <w:rFonts w:ascii="Seaford" w:cs="Seaford" w:eastAsia="Seaford" w:hAnsi="Seaford"/>
                <w:color w:val="2E3338"/>
                <w:sz w:val="19"/>
                <w:szCs w:val="19"/>
              </w:rPr>
              <w:t xml:space="preserve">The language has not been determined to be appropriate, legally sufficient, or enforceable in every North Carolina jurisdiction. Before using or adopting any portion of the draft, each local government should review it with its local government attorney, planning staff, and appropriate technical professionals and evaluate it against its existing UDO, local conditions, infrastructure capacity, and applicable state and federal requirements.</w:t>
            </w:r>
          </w:p>
          <w:p>
            <w:pPr>
              <w:spacing w:after="100" w:before="0" w:line="276"/>
            </w:pPr>
            <w:r>
              <w:rPr>
                <w:rFonts w:ascii="Seaford" w:cs="Seaford" w:eastAsia="Seaford" w:hAnsi="Seaford"/>
                <w:color w:val="2E3338"/>
                <w:sz w:val="19"/>
                <w:szCs w:val="19"/>
              </w:rPr>
              <w:t xml:space="preserve">Communities should not duplicate or replace existing UDO provisions that already adequately address an issue. All bracketed language and numerical standards require local determination and legal and technical review before adoption.</w:t>
            </w:r>
          </w:p>
        </w:tc>
      </w:tr>
    </w:tbl>
    <w:sectPr>
      <w:headerReference w:type="default" r:id="rId9"/>
      <w:footerReference w:type="default" r:id="rId10"/>
      <w:pgSz w:w="12240" w:h="15840" w:orient="portrait"/>
      <w:pgMar w:top="1300" w:right="1296" w:bottom="1200" w:left="1296" w:header="640" w:footer="600" w:gutter="0"/>
      <w:pgNumType w:start="2"/>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48"/>
      </w:tabs>
    </w:pPr>
    <w:r>
      <w:drawing>
        <wp:inline distT="0" distB="0" distL="0" distR="0">
          <wp:extent cx="10477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 cy="123825"/>
                  </a:xfrm>
                  <a:prstGeom prst="rect">
                    <a:avLst/>
                  </a:prstGeom>
                </pic:spPr>
              </pic:pic>
            </a:graphicData>
          </a:graphic>
        </wp:inline>
      </w:drawing>
    </w:r>
    <w:r>
      <w:rPr>
        <w:rFonts w:ascii="Seaford" w:cs="Seaford" w:eastAsia="Seaford" w:hAnsi="Seaford"/>
        <w:b/>
        <w:bCs/>
        <w:color w:val="49497F"/>
        <w:sz w:val="16"/>
        <w:szCs w:val="16"/>
      </w:rPr>
      <w:t xml:space="preserve">  Central Pines Regional Council</w:t>
    </w:r>
    <w:r>
      <w:rPr>
        <w:rFonts w:ascii="Seaford" w:cs="Seaford" w:eastAsia="Seaford" w:hAnsi="Seaford"/>
        <w:color w:val="2E3338"/>
        <w:sz w:val="22"/>
        <w:szCs w:val="22"/>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E6" w:sz="4" w:space="6"/>
      </w:pBdr>
      <w:tabs>
        <w:tab w:val="right" w:pos="9648"/>
      </w:tabs>
    </w:pPr>
    <w:r>
      <w:rPr>
        <w:rFonts w:ascii="Seaford" w:cs="Seaford" w:eastAsia="Seaford" w:hAnsi="Seaford"/>
        <w:b/>
        <w:bCs/>
        <w:color w:val="49497F"/>
        <w:spacing w:val="10"/>
        <w:sz w:val="15"/>
        <w:szCs w:val="15"/>
      </w:rPr>
      <w:t xml:space="preserve">TOWN OF </w:t>
    </w:r>
    <w:r>
      <w:rPr>
        <w:rFonts w:ascii="Seaford" w:cs="Seaford" w:eastAsia="Seaford" w:hAnsi="Seaford"/>
        <w:b/>
        <w:bCs/>
        <w:color w:val="49497F"/>
        <w:spacing w:val="10"/>
        <w:sz w:val="15"/>
        <w:szCs w:val="15"/>
      </w:rPr>
      <w:t xml:space="preserve">[LOCAL GOVERNMENT NAME]</w:t>
    </w:r>
    <w:r>
      <w:rPr>
        <w:rFonts w:ascii="Seaford" w:cs="Seaford" w:eastAsia="Seaford" w:hAnsi="Seaford"/>
        <w:b/>
        <w:bCs/>
        <w:color w:val="49497F"/>
        <w:spacing w:val="10"/>
        <w:sz w:val="15"/>
        <w:szCs w:val="15"/>
      </w:rPr>
      <w:t xml:space="preserve">, NORTH CAROLINA</w:t>
    </w:r>
    <w:r>
      <w:rPr>
        <w:rFonts w:ascii="Seaford" w:cs="Seaford" w:eastAsia="Seaford" w:hAnsi="Seaford"/>
        <w:i/>
        <w:iCs/>
        <w:color w:val="6B6F7B"/>
        <w:sz w:val="16"/>
        <w:szCs w:val="16"/>
      </w:rPr>
      <w:t xml:space="preserve">	Draft Data Center Ordinance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rFonts w:ascii="Seaford" w:cs="Seaford" w:eastAsia="Seaford" w:hAnsi="Seaford"/>
        <w:b/>
        <w:bCs/>
        <w:color w:val="9FD75C"/>
      </w:rPr>
    </w:lvl>
  </w:abstractNum>
  <w:abstractNum w:abstractNumId="3" w15:restartNumberingAfterBreak="0">
    <w:multiLevelType w:val="hybridMultilevel"/>
    <w:lvl w:ilvl="0" w15:tentative="1">
      <w:start w:val="1"/>
      <w:numFmt w:val="upperLetter"/>
      <w:lvlText w:val="%1."/>
      <w:lvlJc w:val="left"/>
      <w:pPr>
        <w:ind w:left="540" w:hanging="360"/>
      </w:pPr>
      <w:rPr>
        <w:rFonts w:ascii="Seaford" w:cs="Seaford" w:eastAsia="Seaford" w:hAnsi="Seaford"/>
        <w:b/>
        <w:bCs/>
        <w:color w:val="49497F"/>
      </w:rPr>
    </w:lvl>
  </w:abstractNum>
  <w:abstractNum w:abstractNumId="4" w15:restartNumberingAfterBreak="0">
    <w:multiLevelType w:val="hybridMultilevel"/>
    <w:lvl w:ilvl="0" w15:tentative="1">
      <w:start w:val="1"/>
      <w:numFmt w:val="decimal"/>
      <w:lvlText w:val="%1."/>
      <w:lvlJc w:val="left"/>
      <w:pPr>
        <w:ind w:left="540" w:hanging="360"/>
      </w:pPr>
      <w:rPr>
        <w:rFonts w:ascii="Seaford" w:cs="Seaford" w:eastAsia="Seaford" w:hAnsi="Seaford"/>
        <w:b/>
        <w:bCs/>
        <w:color w:val="49497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bering>
</file>

<file path=word/settings.xml>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aford" w:cs="Seaford" w:eastAsia="Seaford" w:hAnsi="Seaford"/>
        <w:color w:val="2E33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Seaford" w:cs="Seaford" w:eastAsia="Seaford" w:hAnsi="Seaford"/>
      <w:b/>
      <w:bCs/>
      <w:color w:val="49497F"/>
      <w:sz w:val="44"/>
      <w:szCs w:val="44"/>
    </w:rPr>
  </w:style>
  <w:style w:type="paragraph" w:styleId="Heading2">
    <w:name w:val="Heading 2"/>
    <w:basedOn w:val="Normal"/>
    <w:next w:val="Normal"/>
    <w:qFormat/>
    <w:pPr>
      <w:outlineLvl w:val="1"/>
    </w:pPr>
    <w:rPr>
      <w:rFonts w:ascii="Seaford" w:cs="Seaford" w:eastAsia="Seaford" w:hAnsi="Seaford"/>
      <w:b/>
      <w:bCs/>
      <w:color w:val="49497F"/>
      <w:sz w:val="28"/>
      <w:szCs w:val="28"/>
    </w:rPr>
  </w:style>
  <w:style w:type="paragraph" w:styleId="TOC1">
    <w:name w:val="toc 1"/>
    <w:basedOn w:val="Normal"/>
    <w:next w:val="Normal"/>
    <w:pPr>
      <w:spacing w:after="60" w:before="200"/>
    </w:pPr>
    <w:rPr>
      <w:rFonts w:ascii="Seaford" w:cs="Seaford" w:eastAsia="Seaford" w:hAnsi="Seaford"/>
      <w:b/>
      <w:bCs/>
      <w:color w:val="49497F"/>
      <w:sz w:val="21"/>
      <w:szCs w:val="21"/>
    </w:rPr>
  </w:style>
  <w:style w:type="paragraph" w:styleId="TOC2">
    <w:name w:val="toc 2"/>
    <w:basedOn w:val="Normal"/>
    <w:next w:val="Normal"/>
    <w:pPr>
      <w:spacing w:after="40"/>
      <w:ind w:left="240"/>
    </w:pPr>
    <w:rPr>
      <w:rFonts w:ascii="Seaford" w:cs="Seaford" w:eastAsia="Seaford" w:hAnsi="Seaford"/>
      <w:color w:val="2E3338"/>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30d675518e1be0243e1af0496e721e10a7d3268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Relationship Id="rId0" Type="http://schemas.openxmlformats.org/officeDocument/2006/relationships/image" Target="media/f904be5ee0162d5ddae04153108efa52766bda9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 Data Center Unified Development Ordinance Amendment — Draft</dc:title>
  <dc:creator>Central Pines Regional Council</dc:creator>
  <cp:lastModifiedBy>Un-named</cp:lastModifiedBy>
  <cp:revision>1</cp:revision>
  <dcterms:created xsi:type="dcterms:W3CDTF">2026-10-16T20:05:25.152Z</dcterms:created>
  <dcterms:modified xsi:type="dcterms:W3CDTF">2026-10-16T20:05:25.153Z</dcterms:modified>
</cp:coreProperties>
</file>

<file path=docProps/custom.xml><?xml version="1.0" encoding="utf-8"?>
<Properties xmlns="http://schemas.openxmlformats.org/officeDocument/2006/custom-properties" xmlns:vt="http://schemas.openxmlformats.org/officeDocument/2006/docPropsVTypes"/>
</file>